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w:t>
      </w:r>
      <w:r>
        <w:rPr>
          <w:rFonts w:hint="eastAsia" w:ascii="Arial" w:hAnsi="Arial" w:cs="Arial"/>
          <w:b/>
          <w:bCs/>
          <w:sz w:val="28"/>
          <w:szCs w:val="28"/>
          <w:lang w:val="en-US" w:eastAsia="zh-CN"/>
        </w:rPr>
        <w:t>7</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r>
        <w:rPr>
          <w:rFonts w:hint="default" w:ascii="Arial" w:hAnsi="Arial" w:eastAsia="Batang" w:cs="Arial"/>
          <w:b/>
          <w:bCs/>
          <w:sz w:val="28"/>
          <w:szCs w:val="28"/>
          <w:lang w:val="en-US" w:eastAsia="en-US"/>
        </w:rPr>
        <w:t>R1-24</w:t>
      </w:r>
      <w:r>
        <w:rPr>
          <w:rFonts w:ascii="Arial" w:hAnsi="Arial" w:eastAsia="Batang" w:cs="Arial"/>
          <w:b/>
          <w:bCs/>
          <w:sz w:val="28"/>
          <w:szCs w:val="28"/>
          <w:lang w:eastAsia="en-US"/>
        </w:rPr>
        <w:t>0</w:t>
      </w:r>
      <w:r>
        <w:rPr>
          <w:rFonts w:hint="default" w:ascii="Arial" w:hAnsi="Arial" w:eastAsia="Batang" w:cs="Arial"/>
          <w:b/>
          <w:bCs/>
          <w:sz w:val="28"/>
          <w:szCs w:val="28"/>
          <w:lang w:val="en-US" w:eastAsia="en-US"/>
        </w:rPr>
        <w:t>4821</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Fukuoka City, Fukuoka, Japan, May 20</w:t>
      </w:r>
      <w:r>
        <w:rPr>
          <w:rFonts w:hint="eastAsia" w:ascii="Arial" w:hAnsi="Arial" w:eastAsia="Batang" w:cs="Arial"/>
          <w:b/>
          <w:bCs/>
          <w:sz w:val="28"/>
          <w:szCs w:val="28"/>
          <w:vertAlign w:val="superscript"/>
          <w:lang w:eastAsia="en-US"/>
        </w:rPr>
        <w:t>th</w:t>
      </w:r>
      <w:r>
        <w:rPr>
          <w:rFonts w:ascii="Arial" w:hAnsi="Arial" w:eastAsia="Batang" w:cs="Arial"/>
          <w:b/>
          <w:bCs/>
          <w:sz w:val="28"/>
          <w:szCs w:val="28"/>
          <w:lang w:eastAsia="en-US"/>
        </w:rPr>
        <w:t xml:space="preserve"> – 24</w:t>
      </w:r>
      <w:r>
        <w:rPr>
          <w:rFonts w:hint="eastAsia" w:ascii="Arial" w:hAnsi="Arial" w:eastAsia="Batang" w:cs="Arial"/>
          <w:b/>
          <w:bCs/>
          <w:sz w:val="28"/>
          <w:szCs w:val="28"/>
          <w:vertAlign w:val="superscript"/>
          <w:lang w:eastAsia="en-US"/>
        </w:rPr>
        <w:t>t</w:t>
      </w:r>
      <w:r>
        <w:rPr>
          <w:rFonts w:ascii="Arial" w:hAnsi="Arial" w:eastAsia="Batang" w:cs="Arial"/>
          <w:b/>
          <w:bCs/>
          <w:sz w:val="28"/>
          <w:szCs w:val="28"/>
          <w:vertAlign w:val="superscript"/>
          <w:lang w:eastAsia="en-US"/>
        </w:rPr>
        <w:t>h</w:t>
      </w:r>
      <w:r>
        <w:rPr>
          <w:rFonts w:ascii="Arial" w:hAnsi="Arial" w:eastAsia="Batang" w:cs="Arial"/>
          <w:b/>
          <w:bCs/>
          <w:sz w:val="28"/>
          <w:szCs w:val="28"/>
          <w:lang w:eastAsia="en-US"/>
        </w:rPr>
        <w:t>, 2024</w:t>
      </w:r>
    </w:p>
    <w:p>
      <w:pPr>
        <w:pStyle w:val="23"/>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3"/>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3"/>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3"/>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RAN1#116</w:t>
      </w:r>
      <w:r>
        <w:rPr>
          <w:rFonts w:hint="eastAsia" w:cs="Times New Roman"/>
          <w:sz w:val="20"/>
          <w:szCs w:val="20"/>
          <w:lang w:val="en-US" w:eastAsia="zh-CN"/>
        </w:rPr>
        <w:t>bis</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[1] on adaptive transmission of common signal or common channel were reached</w:t>
      </w:r>
      <w:r>
        <w:rPr>
          <w:rFonts w:hint="default" w:ascii="Times New Roman" w:hAnsi="Times New Roman" w:cs="Times New Roman"/>
          <w:sz w:val="20"/>
          <w:szCs w:val="20"/>
          <w:lang w:val="en-US" w:eastAsia="zh-CN"/>
        </w:rPr>
        <w:t>：</w:t>
      </w:r>
    </w:p>
    <w:tbl>
      <w:tblPr>
        <w:tblStyle w:val="2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suppressAutoHyphens/>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 xml:space="preserve">For indication of adaptation of SSB in time-domain, </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Support at least SSB adaptation provided by gNB without UE trigger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at least the following: </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additional PRACH resources for NES-capable UEs in addition to PRACH resources for legacy UEs (if any)</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NES-capable UEs can use both additional PRACH resources and PRACH resources for legacy UEs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Configuration of additional PRACH resources is provided by semi-static signalling</w:t>
            </w:r>
          </w:p>
          <w:p>
            <w:pPr>
              <w:keepNext w:val="0"/>
              <w:keepLines w:val="0"/>
              <w:widowControl/>
              <w:numPr>
                <w:ilvl w:val="2"/>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 including whether there is overlap of additional PRACH resources and PRACH resources for legacy UEs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adaptation mechanism for additional PRACH resources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No change to the existing PRACH configuration tables in 38.211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the following: </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SSB-RO mapping for the additional PRACH resources is separate from the SSB-RO mapping of the PRACH resources for legacy UEs (if any)</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whether/how to handle SSB-RO mapping if the additional PRACH resources overlap in both time and frequency with the PRACH resources for legacy UEs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SSB-RO mapping of the PRACH resources for legacy UEs is not impacted if Rel-19 UE uses these PRACH resources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SSB-RO mapping for the additional PRACH resources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Support adaptation mechanisms of PRACH in time-domain for following:</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UE in idle/inactive mode</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UE in connected mode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 xml:space="preserve">Adaptation mechanism(s) of SSB in time-domain is supported at least for one of the following scenario(s): </w:t>
            </w:r>
          </w:p>
          <w:p>
            <w:pPr>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cell with both legacy UEs and Rel-19 NES-capable UEs </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Rel-19 NES-capable UE’s PCell (Connected mode) </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A1: adaptation for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A2: adaptation for SSB that is not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bookmarkStart w:id="5" w:name="_Hlk164286497"/>
            <w:r>
              <w:rPr>
                <w:rFonts w:hint="eastAsia" w:ascii="Times New Roman" w:hAnsi="Times New Roman"/>
                <w:sz w:val="20"/>
                <w:szCs w:val="20"/>
                <w:lang w:eastAsia="zh-CN"/>
              </w:rPr>
              <w:t>Option A3: adaptation for SSB not on sync raster</w:t>
            </w:r>
          </w:p>
          <w:bookmarkEnd w:id="5"/>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Rel-19 NES-capable UE’s SCell </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B1: adaptation for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B2: adaptation for SSB that is not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B3: adaptation for SSB not on sync raster</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fr-FR" w:eastAsia="zh-CN"/>
              </w:rPr>
            </w:pPr>
            <w:r>
              <w:rPr>
                <w:rFonts w:hint="eastAsia" w:ascii="Times New Roman" w:hAnsi="Times New Roman"/>
                <w:sz w:val="20"/>
                <w:szCs w:val="20"/>
                <w:lang w:val="fr-FR" w:eastAsia="zh-CN"/>
              </w:rPr>
              <w:t>FFS: Rel-19 NES-capable UE in idle/inactive mode</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Note: Impact to idle/inactive UEs shall be minimized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For adaptation of PRACH in spatial domain, </w:t>
            </w:r>
          </w:p>
          <w:p>
            <w:pPr>
              <w:pStyle w:val="24"/>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Study possibility of scenarios with non-uniform distribution of UEs in different beams </w:t>
            </w:r>
          </w:p>
          <w:p>
            <w:pPr>
              <w:pStyle w:val="24"/>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Note 6: Companies are encouraged to provide details on how they map UEs to different beams</w:t>
            </w:r>
          </w:p>
          <w:p>
            <w:pPr>
              <w:pStyle w:val="24"/>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Study network energy savings gain achieved by </w:t>
            </w:r>
            <w:r>
              <w:rPr>
                <w:rFonts w:hint="eastAsia"/>
                <w:sz w:val="20"/>
              </w:rPr>
              <w:t xml:space="preserve">non-uniform PRACH resource allocation across SSBs </w:t>
            </w:r>
            <w:r>
              <w:rPr>
                <w:rFonts w:hint="eastAsia"/>
                <w:sz w:val="20"/>
                <w:lang w:eastAsia="zh-TW"/>
              </w:rPr>
              <w:t xml:space="preserve">for scenarios with non-uniform distribution of UEs in different beams (if any), </w:t>
            </w:r>
          </w:p>
          <w:p>
            <w:pPr>
              <w:pStyle w:val="24"/>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Assume the following framework for network energy evaluation in FR1 and companies to report at least the below settings used in the evaluation/simulation</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20ms SSB period</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30kHz SCS, DDDSU TDD pattern</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A: SIB1 period (20ms/40ms/160ms)</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B1: Cell load (Empty/low/medium)</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B2: Traffic model</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C: SIB1 PDSCH time domain resource index in 38.214 Table 5.1.2.1.1-2</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D: CORESET0/SSB multiplexing pattern including controlResourceSetZero (index) in 38.213 Table 13-6, and searchSpaceZero (index) in 38.213 Table 13-11</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Setting E1: PRACH configurations </w:t>
            </w:r>
          </w:p>
          <w:p>
            <w:pPr>
              <w:pStyle w:val="24"/>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(legacy) PRACH resources according to the following PRACH configuration for all transmitted SSBs</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Case A1-1: PRACH configuration #5 (20ms) </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Case A1-2: PRACH configuration #17 (10ms) </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Case A2-1: PRACH configuration #0 (160ms) </w:t>
            </w:r>
          </w:p>
          <w:p>
            <w:pPr>
              <w:pStyle w:val="24"/>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(time-domain PRACH adaptation) Additional and legacy PRACH resources yielding total PRACH resources that are according to one of the following PRACH configuration for all transmitted SSBs</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Case B1: PRACH configuration #17 (10ms) </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Case B2: PRACH configuration #0 (160ms)</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Companies to report details of assumed time domain adaptation mechanism </w:t>
            </w:r>
          </w:p>
          <w:p>
            <w:pPr>
              <w:pStyle w:val="24"/>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(spatial-domain PRACH adaptation) Additional and legacy PRACH resources yielding total PRACH resources that are according to one of the following PRACH configuration </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Case C1: PRACH configuration #17 (10ms) </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Case C2: PRACH configuration #0 (160ms)</w:t>
            </w:r>
          </w:p>
          <w:p>
            <w:pPr>
              <w:pStyle w:val="24"/>
              <w:keepNext w:val="0"/>
              <w:keepLines w:val="0"/>
              <w:widowControl/>
              <w:numPr>
                <w:ilvl w:val="4"/>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 xml:space="preserve">Companies to report details of assumed spatial domain adaptation mechanism, including details of </w:t>
            </w:r>
            <w:r>
              <w:rPr>
                <w:rFonts w:hint="eastAsia"/>
                <w:sz w:val="20"/>
              </w:rPr>
              <w:t>non-uniform PRACH resource allocation across SSBs</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F: Cat 1/Cat 2 BS as defined in TR38.864</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Setting G1: Number of SSB beams: 4,8 SSBs in a SSB burst with SSB pattern case C</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Note 1: Baseline to compare is Case C1 vs Case B1/A1-1/A1-2, Case C2 vs Case B2/A2-1</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Note 2: It is up to company to report the SSB-RO mapping ratio and FDMed RO number, etc</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Note 3: Other PRACH configuration index with different PRACH format other than format 0 is not precluded</w:t>
            </w:r>
          </w:p>
          <w:p>
            <w:pPr>
              <w:pStyle w:val="24"/>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Note 4: Other SSB/SIB1/RACH periodicity/PRACH resource/configuration assumptions are not precluded (up to companies to report)</w:t>
            </w:r>
          </w:p>
          <w:p>
            <w:pPr>
              <w:pStyle w:val="24"/>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Other frameworks for network energy evaluation are not precluded, e.g. including for FR2.</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rPr>
          <w:rFonts w:hint="default"/>
          <w:lang w:val="en-US" w:eastAsia="zh-CN"/>
        </w:rPr>
      </w:pPr>
      <w:r>
        <w:rPr>
          <w:rFonts w:hint="default" w:ascii="Times New Roman" w:hAnsi="Times New Roman" w:eastAsia="宋体"/>
          <w:iCs w:val="0"/>
          <w:sz w:val="20"/>
          <w:szCs w:val="20"/>
          <w:lang w:val="en-US" w:eastAsia="zh-CN"/>
        </w:rPr>
        <w:t>In the RAN1#116</w:t>
      </w:r>
      <w:r>
        <w:rPr>
          <w:rFonts w:hint="eastAsia"/>
          <w:iCs w:val="0"/>
          <w:sz w:val="20"/>
          <w:szCs w:val="20"/>
          <w:lang w:val="en-US" w:eastAsia="zh-CN"/>
        </w:rPr>
        <w:t>bis</w:t>
      </w:r>
      <w:r>
        <w:rPr>
          <w:rFonts w:hint="default" w:ascii="Times New Roman" w:hAnsi="Times New Roman" w:eastAsia="宋体"/>
          <w:iCs w:val="0"/>
          <w:sz w:val="20"/>
          <w:szCs w:val="20"/>
          <w:lang w:val="en-US" w:eastAsia="zh-CN"/>
        </w:rPr>
        <w:t xml:space="preserve"> meeting, the following </w:t>
      </w:r>
      <w:r>
        <w:rPr>
          <w:rFonts w:hint="eastAsia"/>
          <w:iCs w:val="0"/>
          <w:sz w:val="20"/>
          <w:szCs w:val="20"/>
          <w:lang w:val="en-US" w:eastAsia="zh-CN"/>
        </w:rPr>
        <w:t>agreement</w:t>
      </w:r>
      <w:r>
        <w:rPr>
          <w:rFonts w:hint="default" w:ascii="Times New Roman" w:hAnsi="Times New Roman" w:eastAsia="宋体"/>
          <w:iCs w:val="0"/>
          <w:sz w:val="20"/>
          <w:szCs w:val="20"/>
          <w:lang w:val="en-US" w:eastAsia="zh-CN"/>
        </w:rPr>
        <w:t xml:space="preserve"> was reache</w:t>
      </w:r>
      <w:r>
        <w:rPr>
          <w:rFonts w:hint="eastAsia"/>
          <w:iCs w:val="0"/>
          <w:sz w:val="20"/>
          <w:szCs w:val="20"/>
          <w:lang w:val="en-US" w:eastAsia="zh-CN"/>
        </w:rPr>
        <w:t>d on Adaptation of SSB in time domain：</w:t>
      </w:r>
    </w:p>
    <w:tbl>
      <w:tblPr>
        <w:tblStyle w:val="2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val="en-US" w:eastAsia="zh-CN"/>
              </w:rPr>
              <w:t xml:space="preserve"> </w:t>
            </w: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 xml:space="preserve">Adaptation mechanism(s) of SSB in time-domain is supported at least for one of the following scenario(s): </w:t>
            </w:r>
          </w:p>
          <w:p>
            <w:pPr>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cell with both legacy UEs and Rel-19 NES-capable UEs </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PCell (Connected mode) </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A1: adaptation for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A2: adaptation for SSB that is not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A3: adaptation for SSB not on sync raster</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SCell </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B1: adaptation for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B2: adaptation for SSB that is not CD-SSB</w:t>
            </w:r>
          </w:p>
          <w:p>
            <w:pPr>
              <w:keepNext w:val="0"/>
              <w:keepLines w:val="0"/>
              <w:widowControl/>
              <w:numPr>
                <w:ilvl w:val="3"/>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B3: adaptation for SSB not on sync raster</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fr-FR" w:eastAsia="zh-CN"/>
              </w:rPr>
            </w:pPr>
            <w:r>
              <w:rPr>
                <w:rFonts w:hint="eastAsia" w:ascii="Times New Roman" w:hAnsi="Times New Roman"/>
                <w:sz w:val="20"/>
                <w:szCs w:val="20"/>
                <w:lang w:val="fr-FR" w:eastAsia="zh-CN"/>
              </w:rPr>
              <w:t>FFS: Rel-19 NES-capable UE in idle/inactive mode</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Note: Impact to idle/inactive UEs shall be minimized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tc>
      </w:tr>
    </w:tbl>
    <w:p>
      <w:pPr>
        <w:spacing w:before="0" w:beforeLines="50" w:after="0" w:afterLines="50" w:line="360" w:lineRule="auto"/>
        <w:jc w:val="both"/>
        <w:rPr>
          <w:rFonts w:hint="default"/>
          <w:lang w:val="en-US" w:eastAsia="zh-CN"/>
        </w:rPr>
      </w:pPr>
      <w:r>
        <w:rPr>
          <w:rFonts w:hint="default"/>
          <w:lang w:val="en-US" w:eastAsia="zh-CN"/>
        </w:rPr>
        <w:t xml:space="preserve">First, when </w:t>
      </w:r>
      <w:r>
        <w:rPr>
          <w:rFonts w:hint="eastAsia" w:ascii="Times New Roman" w:hAnsi="Times New Roman"/>
          <w:sz w:val="20"/>
          <w:szCs w:val="20"/>
          <w:lang w:val="fr-FR" w:eastAsia="zh-CN"/>
        </w:rPr>
        <w:t xml:space="preserve">Rel-19 NES-capable </w:t>
      </w:r>
      <w:r>
        <w:rPr>
          <w:rFonts w:hint="default"/>
          <w:lang w:val="en-US" w:eastAsia="zh-CN"/>
        </w:rPr>
        <w:t xml:space="preserve">UE is </w:t>
      </w:r>
      <w:r>
        <w:rPr>
          <w:rFonts w:hint="eastAsia"/>
          <w:lang w:val="en-US" w:eastAsia="zh-CN"/>
        </w:rPr>
        <w:t xml:space="preserve">in </w:t>
      </w:r>
      <w:r>
        <w:rPr>
          <w:rFonts w:hint="eastAsia" w:ascii="Times New Roman" w:hAnsi="Times New Roman"/>
          <w:sz w:val="20"/>
          <w:szCs w:val="20"/>
          <w:lang w:val="fr-FR" w:eastAsia="zh-CN"/>
        </w:rPr>
        <w:t>idle/inactive mode</w:t>
      </w:r>
      <w:r>
        <w:rPr>
          <w:rFonts w:hint="default"/>
          <w:lang w:val="en-US" w:eastAsia="zh-CN"/>
        </w:rPr>
        <w:t>, it usually operates in the initial BWP. In this case, the SSB adaptation supported by the Rel-19 NES-capable UE in idle or inactive mode is mainly for CD-SSB. In addition,</w:t>
      </w:r>
      <w:r>
        <w:rPr>
          <w:rFonts w:hint="eastAsia"/>
          <w:lang w:val="en-US" w:eastAsia="zh-CN"/>
        </w:rPr>
        <w:t xml:space="preserve"> </w:t>
      </w:r>
      <w:r>
        <w:rPr>
          <w:rFonts w:hint="default"/>
          <w:lang w:val="en-US" w:eastAsia="zh-CN"/>
        </w:rPr>
        <w:t>since UEs need to search for CD-SSBs and select or reselect cells based on the searched CD-SSBs</w:t>
      </w:r>
      <w:r>
        <w:rPr>
          <w:rFonts w:hint="eastAsia"/>
          <w:lang w:val="en-US" w:eastAsia="zh-CN"/>
        </w:rPr>
        <w:t xml:space="preserve">, </w:t>
      </w:r>
      <w:r>
        <w:rPr>
          <w:rFonts w:hint="default"/>
          <w:lang w:val="en-US" w:eastAsia="zh-CN"/>
        </w:rPr>
        <w:t xml:space="preserve">any adaptation of CD-SSB may affect the mobility of UEs in </w:t>
      </w:r>
      <w:r>
        <w:rPr>
          <w:rFonts w:hint="eastAsia" w:ascii="Times New Roman" w:hAnsi="Times New Roman"/>
          <w:sz w:val="20"/>
          <w:szCs w:val="20"/>
          <w:lang w:val="fr-FR" w:eastAsia="zh-CN"/>
        </w:rPr>
        <w:t>idle/inactive mode</w:t>
      </w:r>
      <w:r>
        <w:rPr>
          <w:rFonts w:hint="eastAsia"/>
          <w:sz w:val="20"/>
          <w:szCs w:val="20"/>
          <w:lang w:val="en-US" w:eastAsia="zh-CN"/>
        </w:rPr>
        <w:t xml:space="preserve">. </w:t>
      </w:r>
      <w:r>
        <w:rPr>
          <w:rFonts w:hint="default"/>
          <w:lang w:val="en-US" w:eastAsia="zh-CN"/>
        </w:rPr>
        <w:t>Therefore,</w:t>
      </w:r>
      <w:r>
        <w:rPr>
          <w:rFonts w:hint="eastAsia"/>
          <w:lang w:val="en-US" w:eastAsia="zh-CN"/>
        </w:rPr>
        <w:t xml:space="preserve"> </w:t>
      </w:r>
      <w:r>
        <w:rPr>
          <w:rFonts w:hint="eastAsia" w:ascii="Times New Roman" w:hAnsi="Times New Roman"/>
          <w:sz w:val="20"/>
          <w:szCs w:val="20"/>
          <w:lang w:eastAsia="zh-CN"/>
        </w:rPr>
        <w:t xml:space="preserve">the CD-SSB adaptation of </w:t>
      </w:r>
      <w:r>
        <w:rPr>
          <w:rFonts w:hint="default"/>
          <w:lang w:val="en-US" w:eastAsia="zh-CN"/>
        </w:rPr>
        <w:t xml:space="preserve">Rel-19 NES-capable UEs in </w:t>
      </w:r>
      <w:r>
        <w:rPr>
          <w:rFonts w:hint="eastAsia" w:ascii="Times New Roman" w:hAnsi="Times New Roman"/>
          <w:sz w:val="20"/>
          <w:szCs w:val="20"/>
          <w:lang w:val="fr-FR" w:eastAsia="zh-CN"/>
        </w:rPr>
        <w:t>idle/inactive mode</w:t>
      </w:r>
      <w:r>
        <w:rPr>
          <w:rFonts w:hint="eastAsia"/>
          <w:sz w:val="20"/>
          <w:szCs w:val="20"/>
          <w:lang w:val="en-US" w:eastAsia="zh-CN"/>
        </w:rPr>
        <w:t xml:space="preserve"> should not be supported</w:t>
      </w:r>
      <w:r>
        <w:rPr>
          <w:rFonts w:hint="default"/>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CD-SSB adaptation of Rel-19 NES-capable UEs in idle/inactive mode should not be supported.</w:t>
      </w:r>
    </w:p>
    <w:p>
      <w:pPr>
        <w:spacing w:before="0" w:beforeLines="50" w:after="0" w:afterLines="50" w:line="360" w:lineRule="auto"/>
        <w:jc w:val="both"/>
        <w:rPr>
          <w:rFonts w:hint="eastAsia"/>
          <w:lang w:val="en-US" w:eastAsia="zh-CN"/>
        </w:rPr>
      </w:pPr>
      <w:r>
        <w:rPr>
          <w:rFonts w:hint="eastAsia"/>
          <w:lang w:val="en-US" w:eastAsia="zh-CN"/>
        </w:rPr>
        <w:t>Secondly, when the Rel-19 NES-capable UE is in connected mode and the cell is the primary cell, if the adaptation for the SSB is for the CD-SSB, e.g., by extending the transmission period of the CD-SSB, the delay for the UE to perform an initial access to that cell will increase. On the contrary, if the adaptation for SSB is for SSB not on sync raster, the initial access of the UE to the cell will not be affected. Similarly, for the Rel-19 NES-capable UE's SCell, since it may also be acting as the primary cell of another legacy UE, the adaptation of the SSB for this cell should also be the SSB not on sync raster to minimize the negative impact of the SSB adaptation operation on the other UEs performing cell search.</w:t>
      </w:r>
    </w:p>
    <w:p>
      <w:pPr>
        <w:spacing w:before="0" w:beforeLines="50" w:after="0" w:afterLines="50" w:line="360" w:lineRule="auto"/>
        <w:jc w:val="both"/>
        <w:rPr>
          <w:rFonts w:hint="eastAsia"/>
          <w:lang w:val="en-US" w:eastAsia="zh-CN"/>
        </w:rPr>
      </w:pPr>
      <w:r>
        <w:rPr>
          <w:rFonts w:hint="eastAsia"/>
          <w:lang w:val="en-US" w:eastAsia="zh-CN"/>
        </w:rPr>
        <w:t>Therefore, the Rel-19 NES-capable UE's PCell and Rel-19 NES-capable UE's SCell can support SSB not on sync raster adaptation.</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A</w:t>
      </w:r>
      <w:r>
        <w:rPr>
          <w:rFonts w:hint="default"/>
          <w:b/>
          <w:sz w:val="21"/>
          <w:szCs w:val="21"/>
          <w:lang w:val="en-US" w:eastAsia="zh-CN"/>
        </w:rPr>
        <w:t>daptation for SSB not on sync raster</w:t>
      </w:r>
      <w:r>
        <w:rPr>
          <w:rFonts w:hint="eastAsia"/>
          <w:b/>
          <w:sz w:val="21"/>
          <w:szCs w:val="21"/>
          <w:lang w:val="en-US" w:eastAsia="zh-CN"/>
        </w:rPr>
        <w:t xml:space="preserve"> can be supported for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PCell</w:t>
      </w:r>
      <w:r>
        <w:rPr>
          <w:rFonts w:hint="default"/>
          <w:b/>
          <w:sz w:val="21"/>
          <w:szCs w:val="21"/>
          <w:lang w:val="en-US" w:eastAsia="zh-CN"/>
        </w:rPr>
        <w:t xml:space="preserve"> and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SCell</w:t>
      </w:r>
      <w:r>
        <w:rPr>
          <w:rFonts w:hint="default"/>
          <w:b/>
          <w:sz w:val="21"/>
          <w:szCs w:val="21"/>
          <w:lang w:val="en-US" w:eastAsia="zh-CN"/>
        </w:rPr>
        <w:t>.</w:t>
      </w:r>
    </w:p>
    <w:p>
      <w:pPr>
        <w:rPr>
          <w:rFonts w:hint="eastAsia"/>
          <w:lang w:val="en-US" w:eastAsia="zh-CN"/>
        </w:rPr>
      </w:pPr>
      <w:r>
        <w:rPr>
          <w:rFonts w:hint="eastAsia" w:ascii="Times New Roman" w:hAnsi="Times New Roman" w:eastAsia="宋体" w:cs="Times New Roman"/>
          <w:i w:val="0"/>
          <w:iCs w:val="0"/>
          <w:caps w:val="0"/>
          <w:spacing w:val="0"/>
          <w:sz w:val="20"/>
          <w:szCs w:val="20"/>
          <w:shd w:val="clear"/>
          <w:lang w:val="en-US" w:eastAsia="zh-CN"/>
        </w:rPr>
        <w:t>Regarding the adaptation mechanism of SSB, previous meetings reached the following agreement:</w:t>
      </w:r>
    </w:p>
    <w:tbl>
      <w:tblPr>
        <w:tblStyle w:val="2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7"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SSB in time-domain, consider the following adaptation mechanisms for further study </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of SSB burst periodicity</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two SSB configurations where up to two configurations can be active</w:t>
            </w:r>
          </w:p>
          <w:p>
            <w:pPr>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skipping/transmitting some SSB bursts non-uniformly with single SSB configuration</w:t>
            </w:r>
          </w:p>
          <w:p>
            <w:pPr>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transmitted number of SSBs within a SSB burst</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Cell DTX for SSB adaptation</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 periodicity value(s)</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burst(s) (i.e. how SSB transmission is made within a burst)</w:t>
            </w:r>
          </w:p>
          <w:p>
            <w:pPr>
              <w:keepNext w:val="0"/>
              <w:keepLines w:val="0"/>
              <w:widowControl/>
              <w:numPr>
                <w:ilvl w:val="1"/>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New compact SSB burst(s) </w:t>
            </w:r>
          </w:p>
          <w:p>
            <w:pPr>
              <w:keepNext w:val="0"/>
              <w:keepLines w:val="0"/>
              <w:widowControl/>
              <w:numPr>
                <w:ilvl w:val="1"/>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position of SSBs within a SSB burst</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Other mechanisms/combinations are not precluded</w:t>
            </w:r>
          </w:p>
          <w:p>
            <w:pPr>
              <w:keepNext w:val="0"/>
              <w:keepLines w:val="0"/>
              <w:widowControl/>
              <w:suppressLineNumbers w:val="0"/>
              <w:overflowPunct w:val="0"/>
              <w:autoSpaceDE w:val="0"/>
              <w:autoSpaceDN w:val="0"/>
              <w:adjustRightInd w:val="0"/>
              <w:spacing w:beforeAutospacing="0" w:afterAutospacing="0"/>
              <w:ind w:right="0" w:firstLine="533"/>
              <w:textAlignment w:val="baseline"/>
              <w:rPr>
                <w:rFonts w:hint="default"/>
                <w:sz w:val="15"/>
                <w:szCs w:val="15"/>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For the adaptation mechanism of SSB, the main points of view are analyzed as follows.</w:t>
      </w:r>
    </w:p>
    <w:p>
      <w:pPr>
        <w:spacing w:before="0" w:beforeLines="50" w:after="0" w:afterLines="50" w:line="360" w:lineRule="auto"/>
        <w:jc w:val="both"/>
        <w:rPr>
          <w:rFonts w:hint="eastAsia"/>
          <w:lang w:val="en-US" w:eastAsia="zh-CN"/>
        </w:rPr>
      </w:pPr>
      <w:r>
        <w:rPr>
          <w:rFonts w:hint="eastAsia"/>
          <w:lang w:val="en-US" w:eastAsia="zh-CN"/>
        </w:rPr>
        <w:t>In current specification, the time-domain location of SSB in half-frames is configured semi-statically. And the UE assumes that the period of the SSB is fixed during the activation of the BWP operation.Therefore, the SSB transmission will limit the time for the gNB to enter the energy saving state, which in turn brings about a relatively large base station energy consumption. In order to better achieve the network energy saving, it is necessary to discuss how to adapt the transmission of SSB in time domain.</w:t>
      </w:r>
    </w:p>
    <w:p>
      <w:pPr>
        <w:spacing w:before="0" w:beforeLines="50" w:after="0" w:afterLines="50" w:line="360" w:lineRule="auto"/>
        <w:jc w:val="both"/>
        <w:rPr>
          <w:rFonts w:hint="eastAsia"/>
          <w:lang w:val="en-US" w:eastAsia="zh-CN"/>
        </w:rPr>
      </w:pPr>
      <w:r>
        <w:rPr>
          <w:rFonts w:hint="eastAsia"/>
          <w:lang w:val="en-US" w:eastAsia="zh-CN"/>
        </w:rPr>
        <w:t>First, the transmission period of SSB in the current specification is {5,10,20,40,80,160}. According to TR 38.864, the simulation results of nine companies show that adapting the periodicity of SSB longer than 20ms up to 1280ms can achieve BS energy savings by 0.9%~84.8% in range. In other words, longer SSB transmission period can bring  network energy saving gain. Therefore, in order to better achieve the network energy saving, new longer SSB burst periodicity values can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new longer SSB burst periodicity values</w:t>
      </w:r>
      <w:r>
        <w:rPr>
          <w:rFonts w:hint="eastAsia"/>
          <w:b/>
          <w:sz w:val="21"/>
          <w:szCs w:val="21"/>
          <w:lang w:val="en-US" w:eastAsia="zh-CN"/>
        </w:rPr>
        <w:t xml:space="preserve"> </w:t>
      </w:r>
      <w:r>
        <w:rPr>
          <w:rFonts w:hint="default"/>
          <w:b/>
          <w:sz w:val="21"/>
          <w:szCs w:val="21"/>
          <w:lang w:val="en-US" w:eastAsia="zh-CN"/>
        </w:rPr>
        <w:t>may be considered.</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Second, for the adaptation of SSBs in the time domain, from our point of view, the period of the SSB burst set can be adapted. However, the symbols occupied by SSBs in a half-frame should follow the same rules specified in TS 38.213.</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In addition, for the adaptation of SSBs in the time domain, we can adapt the number of SSBs transmitted in the SSB burst set considering that the beam direction of a particular SSB in the SSB burst set may not have a UE.</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In summary, time-domain SSB adaptation can be either dynamic adaptation to the period of the SSB burst set or adaptation to the number of transmitte</w:t>
      </w:r>
      <w:r>
        <w:rPr>
          <w:rFonts w:hint="eastAsia"/>
          <w:b w:val="0"/>
          <w:bCs w:val="0"/>
          <w:sz w:val="20"/>
          <w:szCs w:val="20"/>
          <w:lang w:val="en-US" w:eastAsia="zh-CN"/>
        </w:rPr>
        <w:t xml:space="preserve">d SSBs </w:t>
      </w:r>
      <w:r>
        <w:rPr>
          <w:rFonts w:hint="default"/>
          <w:b w:val="0"/>
          <w:bCs w:val="0"/>
          <w:sz w:val="21"/>
          <w:szCs w:val="21"/>
          <w:lang w:val="en-US" w:eastAsia="zh-CN"/>
        </w:rPr>
        <w:t>within</w:t>
      </w:r>
      <w:r>
        <w:rPr>
          <w:rFonts w:hint="eastAsia"/>
          <w:b w:val="0"/>
          <w:bCs w:val="0"/>
          <w:sz w:val="20"/>
          <w:szCs w:val="20"/>
          <w:lang w:val="en-US" w:eastAsia="zh-CN"/>
        </w:rPr>
        <w:t xml:space="preserve"> the SSB burst set.</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that adaptation of the SSB burst set period and adaptation of the number of SSBs transmitted within the SSB burst set may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pStyle w:val="4"/>
        <w:spacing w:before="0" w:beforeLines="50" w:after="0" w:afterLines="50" w:line="360" w:lineRule="auto"/>
        <w:ind w:left="0" w:firstLine="0"/>
        <w:rPr>
          <w:rFonts w:hint="default"/>
          <w:sz w:val="28"/>
          <w:szCs w:val="28"/>
          <w:lang w:val="en-US" w:eastAsia="zh-CN"/>
        </w:rPr>
      </w:pPr>
      <w:r>
        <w:rPr>
          <w:rFonts w:hint="default"/>
          <w:sz w:val="28"/>
          <w:szCs w:val="28"/>
          <w:lang w:val="en-US" w:eastAsia="zh-CN"/>
        </w:rPr>
        <w:t>Adaptation of PRACH in time domain</w:t>
      </w:r>
    </w:p>
    <w:p>
      <w:pPr>
        <w:spacing w:before="0" w:beforeLines="50" w:after="0" w:afterLines="50" w:line="360" w:lineRule="auto"/>
        <w:jc w:val="both"/>
        <w:rPr>
          <w:rFonts w:hint="eastAsia"/>
          <w:sz w:val="20"/>
          <w:szCs w:val="20"/>
          <w:lang w:val="en-US" w:eastAsia="zh-CN"/>
        </w:rPr>
      </w:pPr>
      <w:r>
        <w:rPr>
          <w:rFonts w:hint="eastAsia" w:ascii="Times New Roman" w:hAnsi="Times New Roman"/>
          <w:sz w:val="20"/>
          <w:szCs w:val="20"/>
          <w:lang w:val="en-US" w:eastAsia="zh-CN"/>
        </w:rPr>
        <w:t>In the RAN1#116</w:t>
      </w:r>
      <w:r>
        <w:rPr>
          <w:rFonts w:hint="eastAsia"/>
          <w:sz w:val="20"/>
          <w:szCs w:val="20"/>
          <w:lang w:val="en-US" w:eastAsia="zh-CN"/>
        </w:rPr>
        <w:t>bis</w:t>
      </w:r>
      <w:r>
        <w:rPr>
          <w:rFonts w:hint="eastAsia" w:ascii="Times New Roman" w:hAnsi="Times New Roman"/>
          <w:sz w:val="20"/>
          <w:szCs w:val="20"/>
          <w:lang w:val="en-US" w:eastAsia="zh-CN"/>
        </w:rPr>
        <w:t xml:space="preserve"> meeting, the following consensus was reached regarding adaptation of PRACH in the time domain</w:t>
      </w:r>
      <w:r>
        <w:rPr>
          <w:rFonts w:hint="eastAsia"/>
          <w:sz w:val="20"/>
          <w:szCs w:val="20"/>
          <w:lang w:val="en-US" w:eastAsia="zh-CN"/>
        </w:rPr>
        <w:t>：</w:t>
      </w:r>
    </w:p>
    <w:tbl>
      <w:tblPr>
        <w:tblStyle w:val="2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at least the following: </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additional PRACH resources for NES-capable UEs in addition to PRACH resources for legacy UEs (if any)</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NES-capable UEs can use both additional PRACH resources and PRACH resources for legacy UEs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Configuration of additional PRACH resources is provided by semi-static signalling</w:t>
            </w:r>
          </w:p>
          <w:p>
            <w:pPr>
              <w:keepNext w:val="0"/>
              <w:keepLines w:val="0"/>
              <w:widowControl/>
              <w:numPr>
                <w:ilvl w:val="2"/>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 including whether there is overlap of additional PRACH resources and PRACH resources for legacy UEs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adaptation mechanism for additional PRACH resources</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No change to the existing PRACH configuration tables in 38.211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the following: </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SSB-RO mapping for the additional PRACH resources is separate from the SSB-RO mapping of the PRACH resources for legacy UEs (if any)</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whether/how to handle SSB-RO mapping if the additional PRACH resources overlap in both time and frequency with the PRACH resources for legacy UEs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SSB-RO mapping of the PRACH resources for legacy UEs is not impacted if Rel-19 UE uses these PRACH resources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SSB-RO mapping for the additional PRACH resources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4"/>
                <w:szCs w:val="4"/>
                <w:vertAlign w:val="baseline"/>
                <w:lang w:val="en-US" w:eastAsia="zh-CN"/>
              </w:rPr>
            </w:pPr>
          </w:p>
        </w:tc>
      </w:tr>
    </w:tbl>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lang w:val="en-US" w:eastAsia="zh-CN"/>
        </w:rPr>
      </w:pPr>
      <w:r>
        <w:rPr>
          <w:rFonts w:hint="eastAsia"/>
          <w:lang w:val="en-US" w:eastAsia="zh-CN"/>
        </w:rPr>
        <w:t>Since the c</w:t>
      </w:r>
      <w:r>
        <w:rPr>
          <w:rFonts w:hint="eastAsia" w:ascii="Times New Roman" w:hAnsi="Times New Roman"/>
          <w:sz w:val="20"/>
          <w:szCs w:val="20"/>
          <w:lang w:eastAsia="zh-CN"/>
        </w:rPr>
        <w:t>onfiguration of additional PRACH resources is provided by</w:t>
      </w:r>
      <w:r>
        <w:rPr>
          <w:rFonts w:hint="eastAsia"/>
          <w:lang w:val="en-US" w:eastAsia="zh-CN"/>
        </w:rPr>
        <w:t xml:space="preserve"> semi-static signaling, we may encounter situations where the additional PRACH resources overlap with </w:t>
      </w:r>
      <w:r>
        <w:rPr>
          <w:rFonts w:hint="eastAsia" w:ascii="Times New Roman" w:hAnsi="Times New Roman"/>
          <w:sz w:val="20"/>
          <w:szCs w:val="20"/>
          <w:lang w:eastAsia="zh-CN"/>
        </w:rPr>
        <w:t>PRACH resources for legacy UEs</w:t>
      </w:r>
      <w:r>
        <w:rPr>
          <w:rFonts w:hint="eastAsia"/>
          <w:lang w:val="en-US" w:eastAsia="zh-CN"/>
        </w:rPr>
        <w:t xml:space="preserve"> in terms of resource allocation. Therefore, we need to carefully consider and discuss specific situations where overlap may occur. For example, we can categorize the overlapping situations as follows:</w:t>
      </w:r>
    </w:p>
    <w:p>
      <w:pPr>
        <w:numPr>
          <w:ilvl w:val="0"/>
          <w:numId w:val="8"/>
        </w:numPr>
        <w:overflowPunct w:val="0"/>
        <w:autoSpaceDE w:val="0"/>
        <w:autoSpaceDN w:val="0"/>
        <w:adjustRightInd w:val="0"/>
        <w:spacing w:beforeLines="50" w:after="120" w:afterLines="50" w:line="360" w:lineRule="auto"/>
        <w:ind w:left="840" w:hanging="420"/>
        <w:jc w:val="both"/>
        <w:textAlignment w:val="baseline"/>
        <w:rPr>
          <w:rFonts w:hint="eastAsia"/>
          <w:lang w:val="en-US" w:eastAsia="zh-CN"/>
        </w:rPr>
      </w:pPr>
      <w:r>
        <w:rPr>
          <w:rFonts w:hint="eastAsia"/>
          <w:lang w:val="en-US" w:eastAsia="zh-CN"/>
        </w:rPr>
        <w:t>Additional PRACH resources completely overlap with PRACH resources for legacy UEs in both the time and frequency domains.</w:t>
      </w:r>
    </w:p>
    <w:p>
      <w:pPr>
        <w:numPr>
          <w:ilvl w:val="0"/>
          <w:numId w:val="8"/>
        </w:numPr>
        <w:overflowPunct w:val="0"/>
        <w:autoSpaceDE w:val="0"/>
        <w:autoSpaceDN w:val="0"/>
        <w:adjustRightInd w:val="0"/>
        <w:spacing w:beforeLines="50" w:after="120" w:afterLines="50" w:line="360" w:lineRule="auto"/>
        <w:ind w:left="840" w:hanging="420"/>
        <w:jc w:val="both"/>
        <w:textAlignment w:val="baseline"/>
        <w:rPr>
          <w:rFonts w:hint="eastAsia"/>
          <w:lang w:val="en-US" w:eastAsia="zh-CN"/>
        </w:rPr>
      </w:pPr>
      <w:r>
        <w:rPr>
          <w:rFonts w:hint="eastAsia"/>
          <w:lang w:val="en-US" w:eastAsia="zh-CN"/>
        </w:rPr>
        <w:t xml:space="preserve">The additional PRACH resource overlaps completely with </w:t>
      </w:r>
      <w:r>
        <w:rPr>
          <w:rFonts w:hint="eastAsia" w:ascii="Times New Roman" w:hAnsi="Times New Roman"/>
          <w:sz w:val="20"/>
          <w:szCs w:val="20"/>
          <w:lang w:eastAsia="zh-CN"/>
        </w:rPr>
        <w:t>PRACH resources for legacy UEs</w:t>
      </w:r>
      <w:r>
        <w:rPr>
          <w:rFonts w:hint="eastAsia"/>
          <w:lang w:val="en-US" w:eastAsia="zh-CN"/>
        </w:rPr>
        <w:t xml:space="preserve"> in the time domain, but only partially in the frequency domain.</w:t>
      </w:r>
    </w:p>
    <w:p>
      <w:pPr>
        <w:numPr>
          <w:ilvl w:val="0"/>
          <w:numId w:val="8"/>
        </w:numPr>
        <w:overflowPunct w:val="0"/>
        <w:autoSpaceDE w:val="0"/>
        <w:autoSpaceDN w:val="0"/>
        <w:adjustRightInd w:val="0"/>
        <w:spacing w:beforeLines="50" w:after="120" w:afterLines="50" w:line="360" w:lineRule="auto"/>
        <w:ind w:left="840" w:hanging="420"/>
        <w:jc w:val="both"/>
        <w:textAlignment w:val="baseline"/>
        <w:rPr>
          <w:rFonts w:hint="eastAsia"/>
          <w:lang w:val="en-US" w:eastAsia="zh-CN"/>
        </w:rPr>
      </w:pPr>
      <w:r>
        <w:rPr>
          <w:rFonts w:hint="eastAsia"/>
          <w:lang w:val="en-US" w:eastAsia="zh-CN"/>
        </w:rPr>
        <w:t xml:space="preserve">Additional PRACH resources completely overlap with </w:t>
      </w:r>
      <w:r>
        <w:rPr>
          <w:rFonts w:hint="eastAsia" w:ascii="Times New Roman" w:hAnsi="Times New Roman"/>
          <w:sz w:val="20"/>
          <w:szCs w:val="20"/>
          <w:lang w:eastAsia="zh-CN"/>
        </w:rPr>
        <w:t>PRACH resources for legacy UEs</w:t>
      </w:r>
      <w:r>
        <w:rPr>
          <w:rFonts w:hint="eastAsia"/>
          <w:lang w:val="en-US" w:eastAsia="zh-CN"/>
        </w:rPr>
        <w:t xml:space="preserve"> in the frequency domain, but only partially overlap in the time domain.</w:t>
      </w:r>
    </w:p>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lang w:val="en-US" w:eastAsia="zh-CN"/>
        </w:rPr>
      </w:pPr>
      <w:r>
        <w:rPr>
          <w:rFonts w:hint="eastAsia"/>
          <w:lang w:val="en-US" w:eastAsia="zh-CN"/>
        </w:rPr>
        <w:t>And the detailed classification of scenarios will help us to formulate appropriate SSB-RO mappings to meet the random access needs for different UEs.</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cenarios where the additional PRACH resources overlap with</w:t>
      </w:r>
      <w:r>
        <w:rPr>
          <w:rFonts w:hint="eastAsia"/>
          <w:b/>
          <w:sz w:val="21"/>
          <w:szCs w:val="21"/>
          <w:lang w:val="en-US" w:eastAsia="zh-CN"/>
        </w:rPr>
        <w:t xml:space="preserve"> </w:t>
      </w:r>
      <w:r>
        <w:rPr>
          <w:rFonts w:hint="default"/>
          <w:b/>
          <w:sz w:val="21"/>
          <w:szCs w:val="21"/>
          <w:lang w:val="en-US" w:eastAsia="zh-CN"/>
        </w:rPr>
        <w:t xml:space="preserve">PRACH resources for legacy UEs </w:t>
      </w:r>
      <w:r>
        <w:rPr>
          <w:rFonts w:hint="eastAsia"/>
          <w:b/>
          <w:sz w:val="21"/>
          <w:szCs w:val="21"/>
          <w:lang w:val="en-US" w:eastAsia="zh-CN"/>
        </w:rPr>
        <w:t>should prioritize to be discussed.</w:t>
      </w:r>
    </w:p>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rPr>
      </w:pPr>
      <w:r>
        <w:rPr>
          <w:rFonts w:hint="eastAsia"/>
        </w:rPr>
        <w:t xml:space="preserve">In Rel-18, cell DTX/DRX operation is introduced for better network energy saving. However, </w:t>
      </w:r>
      <w:r>
        <w:rPr>
          <w:rFonts w:hint="eastAsia"/>
          <w:lang w:val="en-US" w:eastAsia="zh-CN"/>
        </w:rPr>
        <w:t xml:space="preserve">in Rel-18, </w:t>
      </w:r>
      <w:r>
        <w:rPr>
          <w:rFonts w:hint="eastAsia"/>
        </w:rPr>
        <w:t xml:space="preserve">the cell DTX/DRX operation is restricted only for some UE-specific channels/signals. </w:t>
      </w:r>
      <w:r>
        <w:rPr>
          <w:rFonts w:hint="eastAsia"/>
          <w:lang w:val="en-US" w:eastAsia="zh-CN"/>
        </w:rPr>
        <w:t>Therefore, f</w:t>
      </w:r>
      <w:r>
        <w:rPr>
          <w:rFonts w:hint="eastAsia"/>
        </w:rPr>
        <w:t>rom the point of view of network energy saving, we can consider PRACH</w:t>
      </w:r>
      <w:r>
        <w:rPr>
          <w:rFonts w:hint="eastAsia"/>
          <w:lang w:val="en-US" w:eastAsia="zh-CN"/>
        </w:rPr>
        <w:t xml:space="preserve"> </w:t>
      </w:r>
      <w:r>
        <w:rPr>
          <w:rFonts w:hint="eastAsia"/>
        </w:rPr>
        <w:t>adaptation based on extending cell DRX operation.</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It is recommended to consider PRACH adaptation based on extended cell DRX operation.</w:t>
      </w:r>
    </w:p>
    <w:p>
      <w:pPr>
        <w:numPr>
          <w:ilvl w:val="0"/>
          <w:numId w:val="0"/>
        </w:numPr>
        <w:overflowPunct w:val="0"/>
        <w:autoSpaceDE w:val="0"/>
        <w:autoSpaceDN w:val="0"/>
        <w:adjustRightInd w:val="0"/>
        <w:spacing w:beforeLines="50" w:after="120" w:afterLines="50" w:line="360" w:lineRule="auto"/>
        <w:ind w:left="0" w:firstLine="0"/>
        <w:jc w:val="both"/>
        <w:textAlignment w:val="baseline"/>
      </w:pPr>
      <w:r>
        <w:rPr>
          <w:rFonts w:hint="eastAsia"/>
        </w:rPr>
        <w:t>In the current specification,</w:t>
      </w:r>
      <w:r>
        <w:rPr>
          <w:rFonts w:hint="eastAsia"/>
          <w:lang w:val="en-US" w:eastAsia="zh-CN"/>
        </w:rPr>
        <w:t xml:space="preserve"> </w:t>
      </w:r>
      <w:r>
        <w:rPr>
          <w:rFonts w:hint="eastAsia"/>
        </w:rPr>
        <w:t>PRACH configuration is configured by SIB1. And according to the WID, it is known that R19 will achieve the purpose of on-demand SIB1</w:t>
      </w:r>
      <w:r>
        <w:rPr>
          <w:rFonts w:hint="eastAsia"/>
          <w:lang w:val="en-US" w:eastAsia="zh-CN"/>
        </w:rPr>
        <w:t xml:space="preserve"> transmission</w:t>
      </w:r>
      <w:r>
        <w:rPr>
          <w:rFonts w:hint="eastAsia"/>
        </w:rPr>
        <w:t xml:space="preserve">, </w:t>
      </w:r>
      <w:r>
        <w:rPr>
          <w:rFonts w:hint="eastAsia"/>
          <w:lang w:val="en-US" w:eastAsia="zh-CN"/>
        </w:rPr>
        <w:t xml:space="preserve">so the signaling mechanism that informs the UE </w:t>
      </w:r>
      <w:r>
        <w:rPr>
          <w:rFonts w:hint="eastAsia"/>
        </w:rPr>
        <w:t>of adaptation of PRACH</w:t>
      </w:r>
      <w:r>
        <w:rPr>
          <w:rFonts w:hint="eastAsia"/>
          <w:lang w:val="en-US" w:eastAsia="zh-CN"/>
        </w:rPr>
        <w:t xml:space="preserve"> can be combined with a signaling mechanism that informs the UE of on-demand SIB1 </w:t>
      </w:r>
      <w:r>
        <w:rPr>
          <w:rFonts w:hint="eastAsia"/>
        </w:rPr>
        <w:t>transmission.</w:t>
      </w:r>
      <w:r>
        <w:t xml:space="preserve"> </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pStyle w:val="4"/>
        <w:spacing w:before="0" w:beforeLines="50" w:after="0" w:afterLines="50" w:line="360" w:lineRule="auto"/>
        <w:ind w:left="0" w:firstLine="0"/>
        <w:rPr>
          <w:rFonts w:hint="default"/>
          <w:sz w:val="28"/>
          <w:szCs w:val="28"/>
          <w:lang w:val="en-US" w:eastAsia="zh-CN"/>
        </w:rPr>
      </w:pPr>
      <w:r>
        <w:rPr>
          <w:rFonts w:hint="default"/>
          <w:sz w:val="28"/>
          <w:szCs w:val="28"/>
          <w:lang w:val="en-US" w:eastAsia="zh-CN"/>
        </w:rPr>
        <w:t>Adaptation of PRACH in spatial domain</w:t>
      </w:r>
    </w:p>
    <w:p>
      <w:pPr>
        <w:numPr>
          <w:ilvl w:val="-1"/>
          <w:numId w:val="0"/>
        </w:numPr>
        <w:overflowPunct/>
        <w:autoSpaceDE/>
        <w:autoSpaceDN/>
        <w:adjustRightInd/>
        <w:spacing w:before="0" w:beforeLines="50" w:after="0" w:afterLines="50" w:line="360" w:lineRule="auto"/>
        <w:jc w:val="both"/>
        <w:textAlignment w:val="auto"/>
        <w:rPr>
          <w:rFonts w:hint="default" w:ascii="Times New Roman" w:hAnsi="Times New Roman" w:eastAsia="宋体" w:cs="Times New Roman"/>
          <w:i w:val="0"/>
          <w:iCs w:val="0"/>
          <w:caps w:val="0"/>
          <w:spacing w:val="0"/>
          <w:sz w:val="20"/>
          <w:szCs w:val="20"/>
          <w:shd w:val="clear"/>
          <w:lang w:val="en-US" w:eastAsia="zh-CN"/>
        </w:rPr>
      </w:pPr>
      <w:r>
        <w:rPr>
          <w:rFonts w:hint="default" w:ascii="Times New Roman" w:hAnsi="Times New Roman" w:eastAsia="宋体" w:cs="Times New Roman"/>
          <w:i w:val="0"/>
          <w:iCs w:val="0"/>
          <w:caps w:val="0"/>
          <w:spacing w:val="0"/>
          <w:sz w:val="20"/>
          <w:szCs w:val="20"/>
          <w:shd w:val="clear"/>
          <w:lang w:val="en-US" w:eastAsia="zh-CN"/>
        </w:rPr>
        <w:t>In a SSB burst set, the number of UE</w:t>
      </w:r>
      <w:r>
        <w:rPr>
          <w:rFonts w:hint="eastAsia" w:cs="Times New Roman"/>
          <w:i w:val="0"/>
          <w:iCs w:val="0"/>
          <w:caps w:val="0"/>
          <w:spacing w:val="0"/>
          <w:sz w:val="20"/>
          <w:szCs w:val="20"/>
          <w:shd w:val="clear"/>
          <w:lang w:val="en-US" w:eastAsia="zh-CN"/>
        </w:rPr>
        <w:t>s</w:t>
      </w:r>
      <w:r>
        <w:rPr>
          <w:rFonts w:hint="default" w:ascii="Times New Roman" w:hAnsi="Times New Roman" w:eastAsia="宋体" w:cs="Times New Roman"/>
          <w:i w:val="0"/>
          <w:iCs w:val="0"/>
          <w:caps w:val="0"/>
          <w:spacing w:val="0"/>
          <w:sz w:val="20"/>
          <w:szCs w:val="20"/>
          <w:shd w:val="clear"/>
          <w:lang w:val="en-US" w:eastAsia="zh-CN"/>
        </w:rPr>
        <w:t xml:space="preserve"> distributed on different SSBs may be different.</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 xml:space="preserve">If the number of ROs associated with each SSB is the same, the collision probability of a UE performing random access on </w:t>
      </w:r>
      <w:r>
        <w:rPr>
          <w:rFonts w:hint="eastAsia" w:cs="Times New Roman"/>
          <w:i w:val="0"/>
          <w:iCs w:val="0"/>
          <w:caps w:val="0"/>
          <w:spacing w:val="0"/>
          <w:sz w:val="20"/>
          <w:szCs w:val="20"/>
          <w:shd w:val="clear"/>
          <w:lang w:val="en-US" w:eastAsia="zh-CN"/>
        </w:rPr>
        <w:t>a</w:t>
      </w:r>
      <w:r>
        <w:rPr>
          <w:rFonts w:hint="default" w:ascii="Times New Roman" w:hAnsi="Times New Roman" w:eastAsia="宋体" w:cs="Times New Roman"/>
          <w:i w:val="0"/>
          <w:iCs w:val="0"/>
          <w:caps w:val="0"/>
          <w:spacing w:val="0"/>
          <w:sz w:val="20"/>
          <w:szCs w:val="20"/>
          <w:shd w:val="clear"/>
          <w:lang w:val="en-US" w:eastAsia="zh-CN"/>
        </w:rPr>
        <w:t xml:space="preserve"> SSB with a higher number of UEs will be significantly higher than the collision probability of a UE performing random access on a SSB with a lower number of UEs. Therefore, in or</w:t>
      </w:r>
      <w:bookmarkStart w:id="6" w:name="_GoBack"/>
      <w:bookmarkEnd w:id="6"/>
      <w:r>
        <w:rPr>
          <w:rFonts w:hint="default" w:ascii="Times New Roman" w:hAnsi="Times New Roman" w:eastAsia="宋体" w:cs="Times New Roman"/>
          <w:i w:val="0"/>
          <w:iCs w:val="0"/>
          <w:caps w:val="0"/>
          <w:spacing w:val="0"/>
          <w:sz w:val="20"/>
          <w:szCs w:val="20"/>
          <w:shd w:val="clear"/>
          <w:lang w:val="en-US" w:eastAsia="zh-CN"/>
        </w:rPr>
        <w:t>der to solve the problem that the random access collision probability of UEs on a certain SSB increases</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 xml:space="preserve">in practical deployments, we can study the non-uniform PRACH resource allocation per SSB. Specifically, in order to achieve non-uniform PRACH resource </w:t>
      </w:r>
      <w:r>
        <w:rPr>
          <w:rFonts w:hint="eastAsia" w:cs="Times New Roman"/>
          <w:i w:val="0"/>
          <w:iCs w:val="0"/>
          <w:caps w:val="0"/>
          <w:spacing w:val="0"/>
          <w:sz w:val="20"/>
          <w:szCs w:val="20"/>
          <w:shd w:val="clear"/>
          <w:lang w:val="en-US" w:eastAsia="zh-CN"/>
        </w:rPr>
        <w:t>per</w:t>
      </w:r>
      <w:r>
        <w:rPr>
          <w:rFonts w:hint="default" w:ascii="Times New Roman" w:hAnsi="Times New Roman" w:eastAsia="宋体" w:cs="Times New Roman"/>
          <w:i w:val="0"/>
          <w:iCs w:val="0"/>
          <w:caps w:val="0"/>
          <w:spacing w:val="0"/>
          <w:sz w:val="20"/>
          <w:szCs w:val="20"/>
          <w:shd w:val="clear"/>
          <w:lang w:val="en-US" w:eastAsia="zh-CN"/>
        </w:rPr>
        <w:t xml:space="preserve"> SSB, we can consider dividing multiple SSBs in a SSB burst set into different SSB groups, and then configure the associated number of RO for different SSB groups.</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8</w:t>
      </w:r>
      <w:r>
        <w:rPr>
          <w:rFonts w:hint="default"/>
          <w:b/>
          <w:sz w:val="21"/>
          <w:szCs w:val="21"/>
          <w:lang w:val="en-US" w:eastAsia="zh-CN"/>
        </w:rPr>
        <w:t xml:space="preserve">  </w:t>
      </w:r>
      <w:r>
        <w:rPr>
          <w:rFonts w:hint="eastAsia"/>
          <w:b/>
          <w:sz w:val="21"/>
          <w:szCs w:val="21"/>
          <w:lang w:val="en-US" w:eastAsia="zh-CN"/>
        </w:rPr>
        <w:t>It is recommended that in order to achieve non-uniform PRACH resource per SSB, dividing multiple SSBs in a SSB burst set into different SSB groups can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1"/>
          <w:szCs w:val="21"/>
          <w:lang w:val="en-US" w:eastAsia="zh-CN"/>
        </w:rPr>
        <w:t xml:space="preserve">Proposal </w:t>
      </w:r>
      <w:r>
        <w:rPr>
          <w:rFonts w:hint="eastAsia"/>
          <w:b/>
          <w:sz w:val="21"/>
          <w:szCs w:val="21"/>
          <w:lang w:val="en-US" w:eastAsia="zh-CN"/>
        </w:rPr>
        <w:t>9</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CD-SSB adaptation of Rel-19 NES-capable UEs in idle/inactive mode should not be supported.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Adaptation for SSB not on sync raster can be supported for Rel-19 NES-capable UE’s PCell and Rel-19 NES-capable UE’s SCell.</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new longer SSB burst periodicity values</w:t>
      </w:r>
      <w:r>
        <w:rPr>
          <w:rFonts w:hint="eastAsia"/>
          <w:b/>
          <w:sz w:val="21"/>
          <w:szCs w:val="21"/>
          <w:lang w:val="en-US" w:eastAsia="zh-CN"/>
        </w:rPr>
        <w:t xml:space="preserve"> </w:t>
      </w:r>
      <w:r>
        <w:rPr>
          <w:rFonts w:hint="default"/>
          <w:b/>
          <w:sz w:val="21"/>
          <w:szCs w:val="21"/>
          <w:lang w:val="en-US" w:eastAsia="zh-CN"/>
        </w:rPr>
        <w:t>may be considered.</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that adaptation of the SSB burst set period and adaptation of the number of SSBs transmitted within the SSB burst set may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cenarios where the additional PRACH resources overlap with</w:t>
      </w:r>
      <w:r>
        <w:rPr>
          <w:rFonts w:hint="eastAsia"/>
          <w:b/>
          <w:sz w:val="21"/>
          <w:szCs w:val="21"/>
          <w:lang w:val="en-US" w:eastAsia="zh-CN"/>
        </w:rPr>
        <w:t xml:space="preserve"> </w:t>
      </w:r>
      <w:r>
        <w:rPr>
          <w:rFonts w:hint="default"/>
          <w:b/>
          <w:sz w:val="21"/>
          <w:szCs w:val="21"/>
          <w:lang w:val="en-US" w:eastAsia="zh-CN"/>
        </w:rPr>
        <w:t xml:space="preserve">PRACH resources for legacy UEs </w:t>
      </w:r>
      <w:r>
        <w:rPr>
          <w:rFonts w:hint="eastAsia"/>
          <w:b/>
          <w:sz w:val="21"/>
          <w:szCs w:val="21"/>
          <w:lang w:val="en-US" w:eastAsia="zh-CN"/>
        </w:rPr>
        <w:t>should prioritize to be discussed.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It is recommended to consider PRACH adaptation based on extended cell DRX operation.</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8</w:t>
      </w:r>
      <w:r>
        <w:rPr>
          <w:rFonts w:hint="default"/>
          <w:b/>
          <w:sz w:val="21"/>
          <w:szCs w:val="21"/>
          <w:lang w:val="en-US" w:eastAsia="zh-CN"/>
        </w:rPr>
        <w:t xml:space="preserve">  </w:t>
      </w:r>
      <w:r>
        <w:rPr>
          <w:rFonts w:hint="eastAsia"/>
          <w:b/>
          <w:sz w:val="21"/>
          <w:szCs w:val="21"/>
          <w:lang w:val="en-US" w:eastAsia="zh-CN"/>
        </w:rPr>
        <w:t>It is recommended that in order to achieve non-uniform PRACH resource per SSB, dividing multiple SSBs in a SSB burst set into different SSB groups can be considered.</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9</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4"/>
        <w:numPr>
          <w:ilvl w:val="0"/>
          <w:numId w:val="9"/>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#116b v0.3.0”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16bis</w:t>
      </w:r>
    </w:p>
    <w:p>
      <w:pPr>
        <w:pStyle w:val="24"/>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4"/>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6D43D7"/>
    <w:multiLevelType w:val="multilevel"/>
    <w:tmpl w:val="1F6D43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0364EC"/>
    <w:multiLevelType w:val="singleLevel"/>
    <w:tmpl w:val="260364EC"/>
    <w:lvl w:ilvl="0" w:tentative="0">
      <w:start w:val="1"/>
      <w:numFmt w:val="bullet"/>
      <w:lvlText w:val=""/>
      <w:lvlJc w:val="left"/>
      <w:pPr>
        <w:tabs>
          <w:tab w:val="left" w:pos="420"/>
        </w:tabs>
        <w:ind w:left="840" w:hanging="420"/>
      </w:pPr>
      <w:rPr>
        <w:rFonts w:hint="default" w:ascii="Wingdings" w:hAnsi="Wingdings"/>
      </w:rPr>
    </w:lvl>
  </w:abstractNum>
  <w:abstractNum w:abstractNumId="4">
    <w:nsid w:val="2B67505F"/>
    <w:multiLevelType w:val="multilevel"/>
    <w:tmpl w:val="2B6750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028230C"/>
    <w:multiLevelType w:val="multilevel"/>
    <w:tmpl w:val="302823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1F95BBE"/>
    <w:multiLevelType w:val="multilevel"/>
    <w:tmpl w:val="61F95B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5"/>
  </w:num>
  <w:num w:numId="4">
    <w:abstractNumId w:val="7"/>
  </w:num>
  <w:num w:numId="5">
    <w:abstractNumId w:val="8"/>
  </w:num>
  <w:num w:numId="6">
    <w:abstractNumId w:val="4"/>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A37C1C"/>
    <w:rsid w:val="00A87743"/>
    <w:rsid w:val="00C40150"/>
    <w:rsid w:val="00D0754F"/>
    <w:rsid w:val="00D25C57"/>
    <w:rsid w:val="00E658FD"/>
    <w:rsid w:val="00E7058B"/>
    <w:rsid w:val="00EF4818"/>
    <w:rsid w:val="010334B8"/>
    <w:rsid w:val="01081B3E"/>
    <w:rsid w:val="01096691"/>
    <w:rsid w:val="01225F6B"/>
    <w:rsid w:val="01914021"/>
    <w:rsid w:val="01A5084E"/>
    <w:rsid w:val="01C95A51"/>
    <w:rsid w:val="01DE08B7"/>
    <w:rsid w:val="01FC7E4D"/>
    <w:rsid w:val="020E6E6E"/>
    <w:rsid w:val="02277D98"/>
    <w:rsid w:val="022B099C"/>
    <w:rsid w:val="02366D2D"/>
    <w:rsid w:val="02574CE3"/>
    <w:rsid w:val="027B1A20"/>
    <w:rsid w:val="02821545"/>
    <w:rsid w:val="02AE06E2"/>
    <w:rsid w:val="02BA26ED"/>
    <w:rsid w:val="0302517C"/>
    <w:rsid w:val="03292219"/>
    <w:rsid w:val="032D0C33"/>
    <w:rsid w:val="03333EBB"/>
    <w:rsid w:val="03600D99"/>
    <w:rsid w:val="039242F7"/>
    <w:rsid w:val="03986975"/>
    <w:rsid w:val="03C91325"/>
    <w:rsid w:val="03C91DEF"/>
    <w:rsid w:val="03EE7116"/>
    <w:rsid w:val="04296264"/>
    <w:rsid w:val="043D1681"/>
    <w:rsid w:val="043D4F04"/>
    <w:rsid w:val="046105A7"/>
    <w:rsid w:val="04664A43"/>
    <w:rsid w:val="04670471"/>
    <w:rsid w:val="048C0506"/>
    <w:rsid w:val="04E1218F"/>
    <w:rsid w:val="050B2FD3"/>
    <w:rsid w:val="056F3D1A"/>
    <w:rsid w:val="057B238D"/>
    <w:rsid w:val="05BE0571"/>
    <w:rsid w:val="05C55C85"/>
    <w:rsid w:val="05CD6914"/>
    <w:rsid w:val="05EE1047"/>
    <w:rsid w:val="05F11FCC"/>
    <w:rsid w:val="060B4B82"/>
    <w:rsid w:val="061C226D"/>
    <w:rsid w:val="06241521"/>
    <w:rsid w:val="062D641E"/>
    <w:rsid w:val="06467E10"/>
    <w:rsid w:val="064E554F"/>
    <w:rsid w:val="06631006"/>
    <w:rsid w:val="0682513E"/>
    <w:rsid w:val="068B669D"/>
    <w:rsid w:val="06963DDF"/>
    <w:rsid w:val="06B22BCB"/>
    <w:rsid w:val="06B6596F"/>
    <w:rsid w:val="06D76DC6"/>
    <w:rsid w:val="06DB01C7"/>
    <w:rsid w:val="06FD7C23"/>
    <w:rsid w:val="07410D95"/>
    <w:rsid w:val="07412138"/>
    <w:rsid w:val="075014AD"/>
    <w:rsid w:val="075B4E21"/>
    <w:rsid w:val="078263E0"/>
    <w:rsid w:val="079743E7"/>
    <w:rsid w:val="07A03B2F"/>
    <w:rsid w:val="07BC033E"/>
    <w:rsid w:val="07DE508C"/>
    <w:rsid w:val="083126FA"/>
    <w:rsid w:val="0843731D"/>
    <w:rsid w:val="08575FBE"/>
    <w:rsid w:val="088E04ED"/>
    <w:rsid w:val="08B14A4A"/>
    <w:rsid w:val="08BE5FB6"/>
    <w:rsid w:val="08D602B0"/>
    <w:rsid w:val="08F161BC"/>
    <w:rsid w:val="091D7698"/>
    <w:rsid w:val="09386CEF"/>
    <w:rsid w:val="093A776C"/>
    <w:rsid w:val="09546DE2"/>
    <w:rsid w:val="095E2632"/>
    <w:rsid w:val="09700C89"/>
    <w:rsid w:val="09731A1B"/>
    <w:rsid w:val="09891C4A"/>
    <w:rsid w:val="09C11875"/>
    <w:rsid w:val="09E853AC"/>
    <w:rsid w:val="0A3C44C2"/>
    <w:rsid w:val="0A940E9D"/>
    <w:rsid w:val="0A944117"/>
    <w:rsid w:val="0AA239BF"/>
    <w:rsid w:val="0AB5350C"/>
    <w:rsid w:val="0AC8754E"/>
    <w:rsid w:val="0AD04CB6"/>
    <w:rsid w:val="0AEB5F77"/>
    <w:rsid w:val="0B204305"/>
    <w:rsid w:val="0B2D2264"/>
    <w:rsid w:val="0B4564A6"/>
    <w:rsid w:val="0B4F2D08"/>
    <w:rsid w:val="0B5645CC"/>
    <w:rsid w:val="0B5A0448"/>
    <w:rsid w:val="0B7E082A"/>
    <w:rsid w:val="0BBE3D51"/>
    <w:rsid w:val="0C0761ED"/>
    <w:rsid w:val="0C201AD9"/>
    <w:rsid w:val="0C3F70FC"/>
    <w:rsid w:val="0C6B3E4C"/>
    <w:rsid w:val="0C7A3E69"/>
    <w:rsid w:val="0C833857"/>
    <w:rsid w:val="0CCC4667"/>
    <w:rsid w:val="0CCD626F"/>
    <w:rsid w:val="0CD41A6D"/>
    <w:rsid w:val="0CFE7F60"/>
    <w:rsid w:val="0D080870"/>
    <w:rsid w:val="0D092E4F"/>
    <w:rsid w:val="0D3D618A"/>
    <w:rsid w:val="0D6E5C96"/>
    <w:rsid w:val="0D8008CF"/>
    <w:rsid w:val="0D84318F"/>
    <w:rsid w:val="0D9F3231"/>
    <w:rsid w:val="0DCC602F"/>
    <w:rsid w:val="0DF54C75"/>
    <w:rsid w:val="0DFE15A3"/>
    <w:rsid w:val="0E0319F2"/>
    <w:rsid w:val="0E2C3933"/>
    <w:rsid w:val="0E4D44EF"/>
    <w:rsid w:val="0E5C65DD"/>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2D573C"/>
    <w:rsid w:val="11624912"/>
    <w:rsid w:val="11BC7B3F"/>
    <w:rsid w:val="11BD0256"/>
    <w:rsid w:val="11F363FF"/>
    <w:rsid w:val="123B45F5"/>
    <w:rsid w:val="123D56D9"/>
    <w:rsid w:val="124E4501"/>
    <w:rsid w:val="12550A22"/>
    <w:rsid w:val="12576123"/>
    <w:rsid w:val="12960691"/>
    <w:rsid w:val="12A365A3"/>
    <w:rsid w:val="12A44024"/>
    <w:rsid w:val="12B75243"/>
    <w:rsid w:val="12DF4C74"/>
    <w:rsid w:val="131577DB"/>
    <w:rsid w:val="131D046B"/>
    <w:rsid w:val="13344F8B"/>
    <w:rsid w:val="135C7F4F"/>
    <w:rsid w:val="136E36ED"/>
    <w:rsid w:val="139559A9"/>
    <w:rsid w:val="139562FC"/>
    <w:rsid w:val="139F60D9"/>
    <w:rsid w:val="13A67F63"/>
    <w:rsid w:val="13F554B1"/>
    <w:rsid w:val="14327D73"/>
    <w:rsid w:val="145C6F22"/>
    <w:rsid w:val="149C635D"/>
    <w:rsid w:val="14AC682E"/>
    <w:rsid w:val="14C53B07"/>
    <w:rsid w:val="14CB142B"/>
    <w:rsid w:val="14D80741"/>
    <w:rsid w:val="14E32355"/>
    <w:rsid w:val="14EC578B"/>
    <w:rsid w:val="14F05DE7"/>
    <w:rsid w:val="15064236"/>
    <w:rsid w:val="15682461"/>
    <w:rsid w:val="158935CD"/>
    <w:rsid w:val="15AD3A82"/>
    <w:rsid w:val="15BF12E4"/>
    <w:rsid w:val="15CE7E95"/>
    <w:rsid w:val="15E82AFC"/>
    <w:rsid w:val="15F61D26"/>
    <w:rsid w:val="16501227"/>
    <w:rsid w:val="170B1239"/>
    <w:rsid w:val="17326BFF"/>
    <w:rsid w:val="173340E6"/>
    <w:rsid w:val="1766497C"/>
    <w:rsid w:val="17846D8A"/>
    <w:rsid w:val="179358ED"/>
    <w:rsid w:val="17B13154"/>
    <w:rsid w:val="17EF5450"/>
    <w:rsid w:val="182A1DB2"/>
    <w:rsid w:val="183D7BCD"/>
    <w:rsid w:val="183E7952"/>
    <w:rsid w:val="187C1BBC"/>
    <w:rsid w:val="188259C1"/>
    <w:rsid w:val="189D42EF"/>
    <w:rsid w:val="18B21AD6"/>
    <w:rsid w:val="18EA08C6"/>
    <w:rsid w:val="18FC598D"/>
    <w:rsid w:val="191D5EC2"/>
    <w:rsid w:val="19286D8E"/>
    <w:rsid w:val="196A0E57"/>
    <w:rsid w:val="19B6063F"/>
    <w:rsid w:val="19C83DDC"/>
    <w:rsid w:val="19DB757A"/>
    <w:rsid w:val="19F743DF"/>
    <w:rsid w:val="1A682661"/>
    <w:rsid w:val="1A942215"/>
    <w:rsid w:val="1AAD617C"/>
    <w:rsid w:val="1ACC2385"/>
    <w:rsid w:val="1AD0213C"/>
    <w:rsid w:val="1AD1680D"/>
    <w:rsid w:val="1AE462AF"/>
    <w:rsid w:val="1AE945CD"/>
    <w:rsid w:val="1AF65748"/>
    <w:rsid w:val="1AFF24AA"/>
    <w:rsid w:val="1B1122A8"/>
    <w:rsid w:val="1B1C3409"/>
    <w:rsid w:val="1B450D4A"/>
    <w:rsid w:val="1B685086"/>
    <w:rsid w:val="1BAD7475"/>
    <w:rsid w:val="1BEA14D8"/>
    <w:rsid w:val="1BED197A"/>
    <w:rsid w:val="1BFF39FC"/>
    <w:rsid w:val="1C1823A7"/>
    <w:rsid w:val="1C274BC0"/>
    <w:rsid w:val="1C3734CF"/>
    <w:rsid w:val="1C4A27F6"/>
    <w:rsid w:val="1CB908AC"/>
    <w:rsid w:val="1CDA2465"/>
    <w:rsid w:val="1D176197"/>
    <w:rsid w:val="1D345FF7"/>
    <w:rsid w:val="1D3A2CBF"/>
    <w:rsid w:val="1D4E0DE6"/>
    <w:rsid w:val="1D5F3C1E"/>
    <w:rsid w:val="1D786CA0"/>
    <w:rsid w:val="1E913FE6"/>
    <w:rsid w:val="1ECD0317"/>
    <w:rsid w:val="1ED32220"/>
    <w:rsid w:val="1EF27252"/>
    <w:rsid w:val="1EF8454C"/>
    <w:rsid w:val="1F0868CC"/>
    <w:rsid w:val="1F1402D1"/>
    <w:rsid w:val="1F303599"/>
    <w:rsid w:val="1F31003B"/>
    <w:rsid w:val="1F713F17"/>
    <w:rsid w:val="1FBF7ED9"/>
    <w:rsid w:val="1FCB49B6"/>
    <w:rsid w:val="1FE458E0"/>
    <w:rsid w:val="1FEC2E86"/>
    <w:rsid w:val="20273EC1"/>
    <w:rsid w:val="202A6055"/>
    <w:rsid w:val="203E1579"/>
    <w:rsid w:val="20486C30"/>
    <w:rsid w:val="20600576"/>
    <w:rsid w:val="20664BB5"/>
    <w:rsid w:val="206E7A43"/>
    <w:rsid w:val="209F126A"/>
    <w:rsid w:val="20DA5585"/>
    <w:rsid w:val="20DC4847"/>
    <w:rsid w:val="20F14799"/>
    <w:rsid w:val="20FC2B2A"/>
    <w:rsid w:val="21330A85"/>
    <w:rsid w:val="213972AA"/>
    <w:rsid w:val="213C7197"/>
    <w:rsid w:val="21486D50"/>
    <w:rsid w:val="214F5755"/>
    <w:rsid w:val="21556A3C"/>
    <w:rsid w:val="217B257A"/>
    <w:rsid w:val="21A041E8"/>
    <w:rsid w:val="21A835A0"/>
    <w:rsid w:val="21B1733E"/>
    <w:rsid w:val="21B6696E"/>
    <w:rsid w:val="21B76AE0"/>
    <w:rsid w:val="21C4473A"/>
    <w:rsid w:val="21C71C6C"/>
    <w:rsid w:val="21F51F69"/>
    <w:rsid w:val="22112672"/>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A27905"/>
    <w:rsid w:val="23AB02F8"/>
    <w:rsid w:val="23E1725C"/>
    <w:rsid w:val="23E3036F"/>
    <w:rsid w:val="24222D39"/>
    <w:rsid w:val="242E2CD0"/>
    <w:rsid w:val="24323971"/>
    <w:rsid w:val="243B09FD"/>
    <w:rsid w:val="24726959"/>
    <w:rsid w:val="24770AA7"/>
    <w:rsid w:val="24805C6F"/>
    <w:rsid w:val="248C0279"/>
    <w:rsid w:val="249C66CB"/>
    <w:rsid w:val="24A835B0"/>
    <w:rsid w:val="24B23EBF"/>
    <w:rsid w:val="24CF5058"/>
    <w:rsid w:val="24F02BBA"/>
    <w:rsid w:val="24F02CB3"/>
    <w:rsid w:val="253731E2"/>
    <w:rsid w:val="253A3D11"/>
    <w:rsid w:val="25760785"/>
    <w:rsid w:val="259733DB"/>
    <w:rsid w:val="259F0F36"/>
    <w:rsid w:val="25A634D3"/>
    <w:rsid w:val="25A733DE"/>
    <w:rsid w:val="25BF7538"/>
    <w:rsid w:val="25E25F7B"/>
    <w:rsid w:val="25FA3B44"/>
    <w:rsid w:val="26014383"/>
    <w:rsid w:val="26025AC5"/>
    <w:rsid w:val="26117D22"/>
    <w:rsid w:val="264E29E7"/>
    <w:rsid w:val="265817DB"/>
    <w:rsid w:val="26685E4E"/>
    <w:rsid w:val="266D09DC"/>
    <w:rsid w:val="266F2F1B"/>
    <w:rsid w:val="26710598"/>
    <w:rsid w:val="26A420F1"/>
    <w:rsid w:val="26D50A2C"/>
    <w:rsid w:val="272E2055"/>
    <w:rsid w:val="27CE415D"/>
    <w:rsid w:val="27EB20ED"/>
    <w:rsid w:val="28090ABE"/>
    <w:rsid w:val="282006E4"/>
    <w:rsid w:val="28295770"/>
    <w:rsid w:val="283F7913"/>
    <w:rsid w:val="286F3CE6"/>
    <w:rsid w:val="28C65A54"/>
    <w:rsid w:val="28F57152"/>
    <w:rsid w:val="290A60E3"/>
    <w:rsid w:val="29156672"/>
    <w:rsid w:val="29925D2E"/>
    <w:rsid w:val="29AA010A"/>
    <w:rsid w:val="29EA70FD"/>
    <w:rsid w:val="29FA68D1"/>
    <w:rsid w:val="2A5218FD"/>
    <w:rsid w:val="2A827ECE"/>
    <w:rsid w:val="2A8E045D"/>
    <w:rsid w:val="2AEB718E"/>
    <w:rsid w:val="2B15743C"/>
    <w:rsid w:val="2B162C13"/>
    <w:rsid w:val="2B172940"/>
    <w:rsid w:val="2B20324F"/>
    <w:rsid w:val="2B347CF1"/>
    <w:rsid w:val="2B9229E5"/>
    <w:rsid w:val="2BB327BE"/>
    <w:rsid w:val="2C0525C8"/>
    <w:rsid w:val="2C153FA1"/>
    <w:rsid w:val="2C1A370D"/>
    <w:rsid w:val="2C3E5C25"/>
    <w:rsid w:val="2C3F7E23"/>
    <w:rsid w:val="2C71696C"/>
    <w:rsid w:val="2C856399"/>
    <w:rsid w:val="2C9C42D9"/>
    <w:rsid w:val="2CB35BE4"/>
    <w:rsid w:val="2CC04EFA"/>
    <w:rsid w:val="2CEC353A"/>
    <w:rsid w:val="2D312F7F"/>
    <w:rsid w:val="2D4C0361"/>
    <w:rsid w:val="2D855F3C"/>
    <w:rsid w:val="2D884FED"/>
    <w:rsid w:val="2D9716DA"/>
    <w:rsid w:val="2DB5450D"/>
    <w:rsid w:val="2DB84437"/>
    <w:rsid w:val="2DFE2383"/>
    <w:rsid w:val="2E194231"/>
    <w:rsid w:val="2E3458E0"/>
    <w:rsid w:val="2E934898"/>
    <w:rsid w:val="2ED90459"/>
    <w:rsid w:val="2EE4137C"/>
    <w:rsid w:val="2F280B6B"/>
    <w:rsid w:val="2F552934"/>
    <w:rsid w:val="2F760EDC"/>
    <w:rsid w:val="2FCF028E"/>
    <w:rsid w:val="2FF31539"/>
    <w:rsid w:val="303F6316"/>
    <w:rsid w:val="30A04ED5"/>
    <w:rsid w:val="30A72E79"/>
    <w:rsid w:val="30C920B8"/>
    <w:rsid w:val="30DD4D3A"/>
    <w:rsid w:val="30F36EDD"/>
    <w:rsid w:val="31182819"/>
    <w:rsid w:val="31586882"/>
    <w:rsid w:val="315A7B86"/>
    <w:rsid w:val="315F1A90"/>
    <w:rsid w:val="31696F75"/>
    <w:rsid w:val="31726B52"/>
    <w:rsid w:val="31A96174"/>
    <w:rsid w:val="31E806EF"/>
    <w:rsid w:val="31F73CFB"/>
    <w:rsid w:val="31F80989"/>
    <w:rsid w:val="32251F8D"/>
    <w:rsid w:val="32395E90"/>
    <w:rsid w:val="323D5BFB"/>
    <w:rsid w:val="3266104E"/>
    <w:rsid w:val="32792BB7"/>
    <w:rsid w:val="32902DEB"/>
    <w:rsid w:val="329A7A4B"/>
    <w:rsid w:val="32F020EB"/>
    <w:rsid w:val="32FD27B6"/>
    <w:rsid w:val="3300373A"/>
    <w:rsid w:val="334B2535"/>
    <w:rsid w:val="3356713D"/>
    <w:rsid w:val="3374781D"/>
    <w:rsid w:val="33D577B5"/>
    <w:rsid w:val="33DF4AD8"/>
    <w:rsid w:val="33F85ED1"/>
    <w:rsid w:val="33FA4C57"/>
    <w:rsid w:val="34022063"/>
    <w:rsid w:val="340D0031"/>
    <w:rsid w:val="344227AB"/>
    <w:rsid w:val="34712317"/>
    <w:rsid w:val="34D54F15"/>
    <w:rsid w:val="354D225A"/>
    <w:rsid w:val="355F746B"/>
    <w:rsid w:val="3565215B"/>
    <w:rsid w:val="357A6B39"/>
    <w:rsid w:val="358F2AEF"/>
    <w:rsid w:val="35B237C1"/>
    <w:rsid w:val="35B54FC1"/>
    <w:rsid w:val="35B567A6"/>
    <w:rsid w:val="35B873B1"/>
    <w:rsid w:val="35C74E47"/>
    <w:rsid w:val="3618394C"/>
    <w:rsid w:val="364C2EB6"/>
    <w:rsid w:val="36665823"/>
    <w:rsid w:val="36794C6B"/>
    <w:rsid w:val="36852913"/>
    <w:rsid w:val="36C61AF7"/>
    <w:rsid w:val="3702714D"/>
    <w:rsid w:val="371A47F4"/>
    <w:rsid w:val="37342E1F"/>
    <w:rsid w:val="37467121"/>
    <w:rsid w:val="374E39C9"/>
    <w:rsid w:val="377D6A97"/>
    <w:rsid w:val="37915A3E"/>
    <w:rsid w:val="37972EC4"/>
    <w:rsid w:val="379B18CA"/>
    <w:rsid w:val="379C1491"/>
    <w:rsid w:val="37A2030E"/>
    <w:rsid w:val="37A54048"/>
    <w:rsid w:val="37FC2346"/>
    <w:rsid w:val="380A1B7E"/>
    <w:rsid w:val="38146BAA"/>
    <w:rsid w:val="383329B2"/>
    <w:rsid w:val="38662298"/>
    <w:rsid w:val="38A442FB"/>
    <w:rsid w:val="38CB386D"/>
    <w:rsid w:val="38CD2F41"/>
    <w:rsid w:val="38D146E8"/>
    <w:rsid w:val="39003390"/>
    <w:rsid w:val="39064955"/>
    <w:rsid w:val="39456083"/>
    <w:rsid w:val="395A05A6"/>
    <w:rsid w:val="39725C4D"/>
    <w:rsid w:val="399C2A77"/>
    <w:rsid w:val="39B70940"/>
    <w:rsid w:val="39ED44B5"/>
    <w:rsid w:val="39F21A1E"/>
    <w:rsid w:val="39FF0D34"/>
    <w:rsid w:val="3A4D2B2F"/>
    <w:rsid w:val="3A8E6D2A"/>
    <w:rsid w:val="3A976FE1"/>
    <w:rsid w:val="3B296135"/>
    <w:rsid w:val="3B30272B"/>
    <w:rsid w:val="3B605478"/>
    <w:rsid w:val="3B702D5E"/>
    <w:rsid w:val="3B824823"/>
    <w:rsid w:val="3B8B1B40"/>
    <w:rsid w:val="3B9024B4"/>
    <w:rsid w:val="3BB75E87"/>
    <w:rsid w:val="3BD94DA7"/>
    <w:rsid w:val="3BDB6AF8"/>
    <w:rsid w:val="3BF24696"/>
    <w:rsid w:val="3C077299"/>
    <w:rsid w:val="3C5E1B18"/>
    <w:rsid w:val="3C6B33AC"/>
    <w:rsid w:val="3CBF66BA"/>
    <w:rsid w:val="3CC505C3"/>
    <w:rsid w:val="3CCB4B07"/>
    <w:rsid w:val="3CF31043"/>
    <w:rsid w:val="3D045D81"/>
    <w:rsid w:val="3D0955CD"/>
    <w:rsid w:val="3D7A7333"/>
    <w:rsid w:val="3D8B16BA"/>
    <w:rsid w:val="3D8F350F"/>
    <w:rsid w:val="3DA42D80"/>
    <w:rsid w:val="3DAB75BC"/>
    <w:rsid w:val="3DB21145"/>
    <w:rsid w:val="3DD3111B"/>
    <w:rsid w:val="3DE35197"/>
    <w:rsid w:val="3E243A02"/>
    <w:rsid w:val="3E286B85"/>
    <w:rsid w:val="3E5F4689"/>
    <w:rsid w:val="3EC724A8"/>
    <w:rsid w:val="3EE3303B"/>
    <w:rsid w:val="3F3570C3"/>
    <w:rsid w:val="3F492FB3"/>
    <w:rsid w:val="3F651E10"/>
    <w:rsid w:val="3F6C7E79"/>
    <w:rsid w:val="3F884A5E"/>
    <w:rsid w:val="3F9625DF"/>
    <w:rsid w:val="3FC12F51"/>
    <w:rsid w:val="3FC6532D"/>
    <w:rsid w:val="3FCD4CB7"/>
    <w:rsid w:val="400E6DA6"/>
    <w:rsid w:val="404104F9"/>
    <w:rsid w:val="40510322"/>
    <w:rsid w:val="40520794"/>
    <w:rsid w:val="40585F20"/>
    <w:rsid w:val="405B6EA5"/>
    <w:rsid w:val="406F22C2"/>
    <w:rsid w:val="407F5DE0"/>
    <w:rsid w:val="40946A23"/>
    <w:rsid w:val="409D5390"/>
    <w:rsid w:val="40A53650"/>
    <w:rsid w:val="4137558E"/>
    <w:rsid w:val="41600151"/>
    <w:rsid w:val="41603818"/>
    <w:rsid w:val="417C189E"/>
    <w:rsid w:val="41845977"/>
    <w:rsid w:val="418E5F9D"/>
    <w:rsid w:val="41A710C5"/>
    <w:rsid w:val="41B53228"/>
    <w:rsid w:val="41C60DB3"/>
    <w:rsid w:val="41CE5702"/>
    <w:rsid w:val="41DB2819"/>
    <w:rsid w:val="41F33743"/>
    <w:rsid w:val="422501CE"/>
    <w:rsid w:val="42470412"/>
    <w:rsid w:val="427B248A"/>
    <w:rsid w:val="42A81C3F"/>
    <w:rsid w:val="42A81EAB"/>
    <w:rsid w:val="42E5654F"/>
    <w:rsid w:val="42E62A04"/>
    <w:rsid w:val="42EC395B"/>
    <w:rsid w:val="42F3528E"/>
    <w:rsid w:val="430A058D"/>
    <w:rsid w:val="430D4764"/>
    <w:rsid w:val="43254DBA"/>
    <w:rsid w:val="436A67A8"/>
    <w:rsid w:val="43993D8E"/>
    <w:rsid w:val="43A01007"/>
    <w:rsid w:val="43E56B7B"/>
    <w:rsid w:val="44495E16"/>
    <w:rsid w:val="44626E27"/>
    <w:rsid w:val="44711559"/>
    <w:rsid w:val="449700C1"/>
    <w:rsid w:val="44BF3856"/>
    <w:rsid w:val="44C04B5B"/>
    <w:rsid w:val="44DF4AD3"/>
    <w:rsid w:val="453C1F26"/>
    <w:rsid w:val="45643FA0"/>
    <w:rsid w:val="456A1771"/>
    <w:rsid w:val="457A3F89"/>
    <w:rsid w:val="45806EC3"/>
    <w:rsid w:val="458A5B63"/>
    <w:rsid w:val="458B5528"/>
    <w:rsid w:val="46117980"/>
    <w:rsid w:val="46126F72"/>
    <w:rsid w:val="461B5D11"/>
    <w:rsid w:val="46477E5A"/>
    <w:rsid w:val="46686C9E"/>
    <w:rsid w:val="469E62EA"/>
    <w:rsid w:val="46CC2197"/>
    <w:rsid w:val="47341CB9"/>
    <w:rsid w:val="473964E9"/>
    <w:rsid w:val="47596A1D"/>
    <w:rsid w:val="476B0A7D"/>
    <w:rsid w:val="476C4C8D"/>
    <w:rsid w:val="47753FAC"/>
    <w:rsid w:val="478F75F0"/>
    <w:rsid w:val="47CA5A26"/>
    <w:rsid w:val="47D1242C"/>
    <w:rsid w:val="48066B36"/>
    <w:rsid w:val="483713AF"/>
    <w:rsid w:val="48403498"/>
    <w:rsid w:val="48570EBF"/>
    <w:rsid w:val="487758BD"/>
    <w:rsid w:val="488E5A9B"/>
    <w:rsid w:val="48AF1F07"/>
    <w:rsid w:val="48B225B7"/>
    <w:rsid w:val="48B64E60"/>
    <w:rsid w:val="48B956E0"/>
    <w:rsid w:val="48ED1F47"/>
    <w:rsid w:val="48F12CEE"/>
    <w:rsid w:val="490B6821"/>
    <w:rsid w:val="4937272B"/>
    <w:rsid w:val="4938000E"/>
    <w:rsid w:val="4943682E"/>
    <w:rsid w:val="49593EE0"/>
    <w:rsid w:val="498558F4"/>
    <w:rsid w:val="499424C3"/>
    <w:rsid w:val="4A4E0260"/>
    <w:rsid w:val="4A523E05"/>
    <w:rsid w:val="4A566406"/>
    <w:rsid w:val="4A603492"/>
    <w:rsid w:val="4A6F7A71"/>
    <w:rsid w:val="4A896855"/>
    <w:rsid w:val="4ABC3BAC"/>
    <w:rsid w:val="4ACC6911"/>
    <w:rsid w:val="4B4016F3"/>
    <w:rsid w:val="4B453C14"/>
    <w:rsid w:val="4B727B1B"/>
    <w:rsid w:val="4BB46FD1"/>
    <w:rsid w:val="4BB54D88"/>
    <w:rsid w:val="4C0B1225"/>
    <w:rsid w:val="4C750F78"/>
    <w:rsid w:val="4C8E5CA5"/>
    <w:rsid w:val="4C913227"/>
    <w:rsid w:val="4CB6277A"/>
    <w:rsid w:val="4CD242DE"/>
    <w:rsid w:val="4CEB0D0D"/>
    <w:rsid w:val="4D121D34"/>
    <w:rsid w:val="4D517068"/>
    <w:rsid w:val="4D5C75F7"/>
    <w:rsid w:val="4D7A3398"/>
    <w:rsid w:val="4DA229C6"/>
    <w:rsid w:val="4E000105"/>
    <w:rsid w:val="4E0F196E"/>
    <w:rsid w:val="4E5B34CB"/>
    <w:rsid w:val="4E897B66"/>
    <w:rsid w:val="4E8C356D"/>
    <w:rsid w:val="4E8D5D4D"/>
    <w:rsid w:val="4E9D1289"/>
    <w:rsid w:val="4EE53BFB"/>
    <w:rsid w:val="4EEF51A5"/>
    <w:rsid w:val="4EF33F37"/>
    <w:rsid w:val="4F1254C3"/>
    <w:rsid w:val="4F29663B"/>
    <w:rsid w:val="4F2F631B"/>
    <w:rsid w:val="4F3C0010"/>
    <w:rsid w:val="4F4A0C44"/>
    <w:rsid w:val="4F4F517C"/>
    <w:rsid w:val="4F687927"/>
    <w:rsid w:val="4F706F0D"/>
    <w:rsid w:val="4F932A9A"/>
    <w:rsid w:val="4F9C5F67"/>
    <w:rsid w:val="4FA30B36"/>
    <w:rsid w:val="50074FD7"/>
    <w:rsid w:val="50342624"/>
    <w:rsid w:val="50617C70"/>
    <w:rsid w:val="50847496"/>
    <w:rsid w:val="508D0734"/>
    <w:rsid w:val="508F4388"/>
    <w:rsid w:val="5096699C"/>
    <w:rsid w:val="509748C6"/>
    <w:rsid w:val="50B8067E"/>
    <w:rsid w:val="50CE6F9F"/>
    <w:rsid w:val="50F63EA8"/>
    <w:rsid w:val="51191C31"/>
    <w:rsid w:val="511F5AA4"/>
    <w:rsid w:val="513671C8"/>
    <w:rsid w:val="5173552E"/>
    <w:rsid w:val="51774DB4"/>
    <w:rsid w:val="517A638F"/>
    <w:rsid w:val="517D50F1"/>
    <w:rsid w:val="518122C6"/>
    <w:rsid w:val="51B30CB0"/>
    <w:rsid w:val="51BA56A1"/>
    <w:rsid w:val="51D51D50"/>
    <w:rsid w:val="51E51FEA"/>
    <w:rsid w:val="51EA4273"/>
    <w:rsid w:val="522378D0"/>
    <w:rsid w:val="52324668"/>
    <w:rsid w:val="523873B8"/>
    <w:rsid w:val="525E29B5"/>
    <w:rsid w:val="52717D1C"/>
    <w:rsid w:val="528A181C"/>
    <w:rsid w:val="52CD3145"/>
    <w:rsid w:val="52EF249C"/>
    <w:rsid w:val="52FF50A3"/>
    <w:rsid w:val="531E1B16"/>
    <w:rsid w:val="535321C1"/>
    <w:rsid w:val="535B7AFB"/>
    <w:rsid w:val="53722A75"/>
    <w:rsid w:val="53A15E6B"/>
    <w:rsid w:val="53C23AF9"/>
    <w:rsid w:val="53D67AD3"/>
    <w:rsid w:val="53F961D2"/>
    <w:rsid w:val="542A2224"/>
    <w:rsid w:val="54322216"/>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B138A"/>
    <w:rsid w:val="55E404D5"/>
    <w:rsid w:val="560A4E69"/>
    <w:rsid w:val="56132672"/>
    <w:rsid w:val="564E44A8"/>
    <w:rsid w:val="569B0ED4"/>
    <w:rsid w:val="56B62BD2"/>
    <w:rsid w:val="56B6720F"/>
    <w:rsid w:val="56CE33F3"/>
    <w:rsid w:val="56E865F9"/>
    <w:rsid w:val="573B34DC"/>
    <w:rsid w:val="57420238"/>
    <w:rsid w:val="575514CD"/>
    <w:rsid w:val="57566604"/>
    <w:rsid w:val="57577640"/>
    <w:rsid w:val="575A1224"/>
    <w:rsid w:val="57F21DC7"/>
    <w:rsid w:val="58036524"/>
    <w:rsid w:val="582C109C"/>
    <w:rsid w:val="583C0450"/>
    <w:rsid w:val="586E14BF"/>
    <w:rsid w:val="588F186B"/>
    <w:rsid w:val="58AD748A"/>
    <w:rsid w:val="58AD7D6B"/>
    <w:rsid w:val="58B96B20"/>
    <w:rsid w:val="58C75E36"/>
    <w:rsid w:val="58CE79BF"/>
    <w:rsid w:val="58FC2A8C"/>
    <w:rsid w:val="591539B6"/>
    <w:rsid w:val="595B14B9"/>
    <w:rsid w:val="598E457A"/>
    <w:rsid w:val="599F5B19"/>
    <w:rsid w:val="59A87627"/>
    <w:rsid w:val="5A4A272E"/>
    <w:rsid w:val="5A687BD7"/>
    <w:rsid w:val="5ABC3E58"/>
    <w:rsid w:val="5ACF2987"/>
    <w:rsid w:val="5AE625AD"/>
    <w:rsid w:val="5B0950EB"/>
    <w:rsid w:val="5B397E38"/>
    <w:rsid w:val="5B4F1FDC"/>
    <w:rsid w:val="5B6F279D"/>
    <w:rsid w:val="5BEC78DC"/>
    <w:rsid w:val="5C0813BB"/>
    <w:rsid w:val="5C1839E9"/>
    <w:rsid w:val="5C2432B9"/>
    <w:rsid w:val="5C603B63"/>
    <w:rsid w:val="5CC93A47"/>
    <w:rsid w:val="5CE31FB3"/>
    <w:rsid w:val="5CF94596"/>
    <w:rsid w:val="5CFC551B"/>
    <w:rsid w:val="5D032927"/>
    <w:rsid w:val="5D080ACC"/>
    <w:rsid w:val="5D25037A"/>
    <w:rsid w:val="5D702D81"/>
    <w:rsid w:val="5D8F6F3F"/>
    <w:rsid w:val="5DCD7DF2"/>
    <w:rsid w:val="5DF16D2C"/>
    <w:rsid w:val="5E4C6141"/>
    <w:rsid w:val="5E5830B6"/>
    <w:rsid w:val="5E9033B3"/>
    <w:rsid w:val="5ECA6000"/>
    <w:rsid w:val="5EE15B23"/>
    <w:rsid w:val="5F102A07"/>
    <w:rsid w:val="5F1B0D98"/>
    <w:rsid w:val="5F1E4324"/>
    <w:rsid w:val="5F5C1159"/>
    <w:rsid w:val="5F8D2114"/>
    <w:rsid w:val="5F93035F"/>
    <w:rsid w:val="5F946831"/>
    <w:rsid w:val="5FA34174"/>
    <w:rsid w:val="5FF40A7C"/>
    <w:rsid w:val="60503394"/>
    <w:rsid w:val="606737AA"/>
    <w:rsid w:val="60844AE7"/>
    <w:rsid w:val="608B409E"/>
    <w:rsid w:val="60C13F33"/>
    <w:rsid w:val="60E73525"/>
    <w:rsid w:val="60F87024"/>
    <w:rsid w:val="61161572"/>
    <w:rsid w:val="616E24E6"/>
    <w:rsid w:val="61931421"/>
    <w:rsid w:val="61A907DA"/>
    <w:rsid w:val="61BE4069"/>
    <w:rsid w:val="61C21F70"/>
    <w:rsid w:val="61C918FB"/>
    <w:rsid w:val="61CB4DFE"/>
    <w:rsid w:val="61CB5D59"/>
    <w:rsid w:val="61FC0E51"/>
    <w:rsid w:val="61FF3FD4"/>
    <w:rsid w:val="62032AC9"/>
    <w:rsid w:val="625957CD"/>
    <w:rsid w:val="62BC56E3"/>
    <w:rsid w:val="62C87348"/>
    <w:rsid w:val="62D63287"/>
    <w:rsid w:val="62EF34B9"/>
    <w:rsid w:val="62F95EDE"/>
    <w:rsid w:val="62FF1157"/>
    <w:rsid w:val="634001E3"/>
    <w:rsid w:val="63531402"/>
    <w:rsid w:val="638C2861"/>
    <w:rsid w:val="63AE2A15"/>
    <w:rsid w:val="63D909EC"/>
    <w:rsid w:val="63E31B13"/>
    <w:rsid w:val="63F1289C"/>
    <w:rsid w:val="644C405D"/>
    <w:rsid w:val="64B0665A"/>
    <w:rsid w:val="64B300C5"/>
    <w:rsid w:val="651C4271"/>
    <w:rsid w:val="658B7DA8"/>
    <w:rsid w:val="65B87C60"/>
    <w:rsid w:val="65CC54F7"/>
    <w:rsid w:val="65DA25C0"/>
    <w:rsid w:val="661D3BC6"/>
    <w:rsid w:val="66216C5D"/>
    <w:rsid w:val="6626064F"/>
    <w:rsid w:val="663549B3"/>
    <w:rsid w:val="664F4F7E"/>
    <w:rsid w:val="667E4DB2"/>
    <w:rsid w:val="66A34FF2"/>
    <w:rsid w:val="66AE6C06"/>
    <w:rsid w:val="66D4616C"/>
    <w:rsid w:val="66F33CD3"/>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9D35E8C"/>
    <w:rsid w:val="69F875E7"/>
    <w:rsid w:val="6A03709F"/>
    <w:rsid w:val="6A5748C2"/>
    <w:rsid w:val="6A921170"/>
    <w:rsid w:val="6A9E5BBC"/>
    <w:rsid w:val="6AA64288"/>
    <w:rsid w:val="6AAD28D9"/>
    <w:rsid w:val="6AB60C9F"/>
    <w:rsid w:val="6ABE7C5E"/>
    <w:rsid w:val="6AC7223E"/>
    <w:rsid w:val="6B02197F"/>
    <w:rsid w:val="6B1A09C3"/>
    <w:rsid w:val="6B20701A"/>
    <w:rsid w:val="6B400C03"/>
    <w:rsid w:val="6B6B2D4C"/>
    <w:rsid w:val="6BB875C8"/>
    <w:rsid w:val="6BC85664"/>
    <w:rsid w:val="6C39469E"/>
    <w:rsid w:val="6C397FC7"/>
    <w:rsid w:val="6C4504B1"/>
    <w:rsid w:val="6CD81C1E"/>
    <w:rsid w:val="6CE978CE"/>
    <w:rsid w:val="6CF62C08"/>
    <w:rsid w:val="6CF74EF3"/>
    <w:rsid w:val="6D1632C9"/>
    <w:rsid w:val="6D270AA3"/>
    <w:rsid w:val="6D561817"/>
    <w:rsid w:val="6D6C5D15"/>
    <w:rsid w:val="6D710A32"/>
    <w:rsid w:val="6DA24B6A"/>
    <w:rsid w:val="6DF56B72"/>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A6A7D"/>
    <w:rsid w:val="6EF51F98"/>
    <w:rsid w:val="6F12372D"/>
    <w:rsid w:val="6F165D50"/>
    <w:rsid w:val="6F2B6BEF"/>
    <w:rsid w:val="6F5F347B"/>
    <w:rsid w:val="6F7F1EFD"/>
    <w:rsid w:val="6FA21C45"/>
    <w:rsid w:val="6FBD0389"/>
    <w:rsid w:val="6FDB6D93"/>
    <w:rsid w:val="700D4FE4"/>
    <w:rsid w:val="70586A83"/>
    <w:rsid w:val="706B2DFF"/>
    <w:rsid w:val="709177BB"/>
    <w:rsid w:val="70921A10"/>
    <w:rsid w:val="70D04FAA"/>
    <w:rsid w:val="71085217"/>
    <w:rsid w:val="710D5413"/>
    <w:rsid w:val="712C7C8C"/>
    <w:rsid w:val="713759CB"/>
    <w:rsid w:val="71487ACE"/>
    <w:rsid w:val="716952A0"/>
    <w:rsid w:val="71C165F4"/>
    <w:rsid w:val="72127582"/>
    <w:rsid w:val="722F4B1D"/>
    <w:rsid w:val="72396872"/>
    <w:rsid w:val="72427182"/>
    <w:rsid w:val="72602955"/>
    <w:rsid w:val="727A40E0"/>
    <w:rsid w:val="72B21830"/>
    <w:rsid w:val="73402061"/>
    <w:rsid w:val="736E0E6D"/>
    <w:rsid w:val="73866514"/>
    <w:rsid w:val="738E3316"/>
    <w:rsid w:val="73C2417B"/>
    <w:rsid w:val="73C66DC3"/>
    <w:rsid w:val="73D24415"/>
    <w:rsid w:val="7455116B"/>
    <w:rsid w:val="745F6C7C"/>
    <w:rsid w:val="74653984"/>
    <w:rsid w:val="74A55024"/>
    <w:rsid w:val="74D516B9"/>
    <w:rsid w:val="750072B4"/>
    <w:rsid w:val="751167ED"/>
    <w:rsid w:val="76016C28"/>
    <w:rsid w:val="76695353"/>
    <w:rsid w:val="766B7857"/>
    <w:rsid w:val="76732C9D"/>
    <w:rsid w:val="76921E95"/>
    <w:rsid w:val="769F2D64"/>
    <w:rsid w:val="76A46677"/>
    <w:rsid w:val="76BA05D5"/>
    <w:rsid w:val="76BF0DED"/>
    <w:rsid w:val="76D214FF"/>
    <w:rsid w:val="77131D70"/>
    <w:rsid w:val="7728018A"/>
    <w:rsid w:val="7732281D"/>
    <w:rsid w:val="77480F82"/>
    <w:rsid w:val="77492442"/>
    <w:rsid w:val="777F291C"/>
    <w:rsid w:val="778F795D"/>
    <w:rsid w:val="77E524BA"/>
    <w:rsid w:val="7805161F"/>
    <w:rsid w:val="78952465"/>
    <w:rsid w:val="78A56E7C"/>
    <w:rsid w:val="78D366C6"/>
    <w:rsid w:val="78EA1B6E"/>
    <w:rsid w:val="78F114F9"/>
    <w:rsid w:val="78FB1E09"/>
    <w:rsid w:val="794B1971"/>
    <w:rsid w:val="795821A2"/>
    <w:rsid w:val="7961146B"/>
    <w:rsid w:val="798B53DB"/>
    <w:rsid w:val="79C23DD0"/>
    <w:rsid w:val="79C248BF"/>
    <w:rsid w:val="79E6728C"/>
    <w:rsid w:val="79EE5F19"/>
    <w:rsid w:val="79FB4C9D"/>
    <w:rsid w:val="79FD4ADC"/>
    <w:rsid w:val="7A442306"/>
    <w:rsid w:val="7A6359F5"/>
    <w:rsid w:val="7A83640D"/>
    <w:rsid w:val="7A941198"/>
    <w:rsid w:val="7A982B2F"/>
    <w:rsid w:val="7ACF3E92"/>
    <w:rsid w:val="7B0D056F"/>
    <w:rsid w:val="7B315C9C"/>
    <w:rsid w:val="7B585E3C"/>
    <w:rsid w:val="7B680137"/>
    <w:rsid w:val="7B6D768F"/>
    <w:rsid w:val="7B7E06C4"/>
    <w:rsid w:val="7B9052C5"/>
    <w:rsid w:val="7BC703CB"/>
    <w:rsid w:val="7BC86AA4"/>
    <w:rsid w:val="7BFC5DC1"/>
    <w:rsid w:val="7C012DCC"/>
    <w:rsid w:val="7C140848"/>
    <w:rsid w:val="7C140FA4"/>
    <w:rsid w:val="7C2524E2"/>
    <w:rsid w:val="7C585A30"/>
    <w:rsid w:val="7C6159BC"/>
    <w:rsid w:val="7C7E29CD"/>
    <w:rsid w:val="7C815CBD"/>
    <w:rsid w:val="7C9877BF"/>
    <w:rsid w:val="7CD47EDB"/>
    <w:rsid w:val="7CDA6E10"/>
    <w:rsid w:val="7CE1176F"/>
    <w:rsid w:val="7D287965"/>
    <w:rsid w:val="7D314F01"/>
    <w:rsid w:val="7D3746FC"/>
    <w:rsid w:val="7D4F649D"/>
    <w:rsid w:val="7D551EE0"/>
    <w:rsid w:val="7D564C1D"/>
    <w:rsid w:val="7D6F00D9"/>
    <w:rsid w:val="7DAB1DF5"/>
    <w:rsid w:val="7DC616C1"/>
    <w:rsid w:val="7DD2457A"/>
    <w:rsid w:val="7E0E6DE1"/>
    <w:rsid w:val="7E582255"/>
    <w:rsid w:val="7E631894"/>
    <w:rsid w:val="7EA02EFE"/>
    <w:rsid w:val="7EB738F3"/>
    <w:rsid w:val="7ED75578"/>
    <w:rsid w:val="7F0D0A7F"/>
    <w:rsid w:val="7F0F1D84"/>
    <w:rsid w:val="7F151C89"/>
    <w:rsid w:val="7F7E58BB"/>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2">
    <w:name w:val="Hyperlink"/>
    <w:basedOn w:val="21"/>
    <w:qFormat/>
    <w:uiPriority w:val="99"/>
    <w:rPr>
      <w:color w:val="0000FF"/>
      <w:u w:val="single"/>
    </w:rPr>
  </w:style>
  <w:style w:type="paragraph" w:customStyle="1" w:styleId="2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4">
    <w:name w:val="List Paragraph"/>
    <w:basedOn w:val="1"/>
    <w:qFormat/>
    <w:uiPriority w:val="34"/>
    <w:pPr>
      <w:spacing w:after="0"/>
      <w:ind w:left="840" w:leftChars="400" w:hanging="1440"/>
    </w:pPr>
    <w:rPr>
      <w:rFonts w:ascii="Times" w:hAnsi="Times" w:eastAsia="Batang"/>
      <w:szCs w:val="24"/>
    </w:rPr>
  </w:style>
  <w:style w:type="table" w:customStyle="1" w:styleId="25">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99"/>
    <w:pPr>
      <w:keepNext/>
      <w:keepLines/>
      <w:spacing w:after="0"/>
    </w:pPr>
    <w:rPr>
      <w:rFonts w:ascii="Arial" w:hAnsi="Arial"/>
      <w:sz w:val="18"/>
    </w:rPr>
  </w:style>
  <w:style w:type="paragraph" w:customStyle="1" w:styleId="30">
    <w:name w:val="B1"/>
    <w:basedOn w:val="15"/>
    <w:qFormat/>
    <w:uiPriority w:val="0"/>
    <w:pPr>
      <w:ind w:left="568" w:hanging="284"/>
    </w:pPr>
  </w:style>
  <w:style w:type="paragraph" w:customStyle="1" w:styleId="31">
    <w:name w:val="EQ"/>
    <w:basedOn w:val="1"/>
    <w:next w:val="1"/>
    <w:qFormat/>
    <w:uiPriority w:val="0"/>
    <w:pPr>
      <w:keepLines/>
      <w:tabs>
        <w:tab w:val="center" w:pos="4536"/>
        <w:tab w:val="right" w:pos="9072"/>
      </w:tabs>
    </w:pPr>
  </w:style>
  <w:style w:type="paragraph" w:customStyle="1" w:styleId="32">
    <w:name w:val="B2"/>
    <w:basedOn w:val="14"/>
    <w:qFormat/>
    <w:uiPriority w:val="0"/>
  </w:style>
  <w:style w:type="paragraph" w:customStyle="1" w:styleId="33">
    <w:name w:val="NO"/>
    <w:basedOn w:val="1"/>
    <w:qFormat/>
    <w:uiPriority w:val="0"/>
    <w:pPr>
      <w:keepLines/>
      <w:ind w:left="1135" w:hanging="851"/>
    </w:pPr>
  </w:style>
  <w:style w:type="character" w:customStyle="1" w:styleId="34">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6">
    <w:name w:val="B4"/>
    <w:basedOn w:val="1"/>
    <w:qFormat/>
    <w:uiPriority w:val="0"/>
    <w:pPr>
      <w:ind w:left="1418" w:hanging="284"/>
    </w:pPr>
  </w:style>
  <w:style w:type="paragraph" w:customStyle="1" w:styleId="37">
    <w:name w:val="B5"/>
    <w:basedOn w:val="1"/>
    <w:qFormat/>
    <w:uiPriority w:val="0"/>
    <w:pPr>
      <w:ind w:left="1702" w:hanging="284"/>
    </w:pPr>
  </w:style>
  <w:style w:type="paragraph" w:customStyle="1" w:styleId="38">
    <w:name w:val="B3"/>
    <w:basedOn w:val="1"/>
    <w:qFormat/>
    <w:uiPriority w:val="0"/>
    <w:pPr>
      <w:ind w:left="1135"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2</TotalTime>
  <ScaleCrop>false</ScaleCrop>
  <LinksUpToDate>false</LinksUpToDate>
  <CharactersWithSpaces>15020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 Shen</cp:lastModifiedBy>
  <dcterms:modified xsi:type="dcterms:W3CDTF">2024-05-10T07:52:26Z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DDD001057D6E48DE82D00A9756A09E0B</vt:lpwstr>
  </property>
</Properties>
</file>